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4BEC8">
      <w:pPr>
        <w:shd w:val="clear" w:color="auto" w:fill="FFFFFF" w:themeFill="background1"/>
        <w:jc w:val="center"/>
        <w:rPr>
          <w:rFonts w:hint="default" w:ascii="Candara" w:hAnsi="Candara" w:cs="Candara"/>
          <w:b/>
          <w:bCs/>
          <w:sz w:val="28"/>
          <w:szCs w:val="28"/>
        </w:rPr>
      </w:pPr>
      <w:bookmarkStart w:id="0" w:name="_Hlk197467130"/>
      <w:r>
        <w:rPr>
          <w:rFonts w:hint="default" w:ascii="Candara" w:hAnsi="Candara" w:cs="Candara"/>
          <w:b/>
          <w:bCs/>
          <w:sz w:val="28"/>
          <w:szCs w:val="28"/>
        </w:rPr>
        <w:t>Greenwashing vs. Genuine Sustainability: A Systematic Review of Digital Advertising and Consumer Perception</w:t>
      </w:r>
    </w:p>
    <w:p w14:paraId="06E02B2B">
      <w:pPr>
        <w:shd w:val="clear" w:color="auto" w:fill="FFFFFF" w:themeFill="background1"/>
        <w:jc w:val="both"/>
        <w:rPr>
          <w:rFonts w:hint="default" w:ascii="Candara" w:hAnsi="Candara" w:cs="Candara"/>
          <w:b/>
          <w:bCs/>
          <w:sz w:val="24"/>
          <w:szCs w:val="24"/>
        </w:rPr>
      </w:pPr>
    </w:p>
    <w:bookmarkEnd w:id="0"/>
    <w:p w14:paraId="09E2164E">
      <w:pPr>
        <w:spacing w:line="24" w:lineRule="atLeast"/>
        <w:jc w:val="both"/>
        <w:rPr>
          <w:rFonts w:hint="default" w:ascii="Candara" w:hAnsi="Candara" w:cs="Candara"/>
          <w:b/>
          <w:bCs/>
          <w:sz w:val="24"/>
          <w:szCs w:val="24"/>
        </w:rPr>
      </w:pPr>
      <w:r>
        <w:rPr>
          <w:rFonts w:hint="default" w:ascii="Candara" w:hAnsi="Candara" w:cs="Candara"/>
          <w:b/>
          <w:bCs/>
          <w:sz w:val="24"/>
          <w:szCs w:val="24"/>
        </w:rPr>
        <w:t>Dr. Sadaf Zahra</w:t>
      </w:r>
    </w:p>
    <w:p w14:paraId="417E6110">
      <w:pPr>
        <w:spacing w:line="24" w:lineRule="atLeast"/>
        <w:jc w:val="both"/>
        <w:rPr>
          <w:rFonts w:hint="default" w:ascii="Candara" w:hAnsi="Candara" w:cs="Candara"/>
          <w:sz w:val="24"/>
          <w:szCs w:val="24"/>
        </w:rPr>
      </w:pPr>
      <w:r>
        <w:rPr>
          <w:rFonts w:hint="default" w:ascii="Candara" w:hAnsi="Candara" w:cs="Candara"/>
          <w:sz w:val="24"/>
          <w:szCs w:val="24"/>
        </w:rPr>
        <w:t xml:space="preserve">Assistant Professor, Faculty of Media and Mass Communication, University of Central Punjab, Lahore. </w:t>
      </w:r>
    </w:p>
    <w:p w14:paraId="285E7B88">
      <w:pPr>
        <w:spacing w:line="24" w:lineRule="atLeast"/>
        <w:jc w:val="both"/>
        <w:rPr>
          <w:rFonts w:hint="default" w:ascii="Candara" w:hAnsi="Candara" w:cs="Candara"/>
          <w:sz w:val="24"/>
          <w:szCs w:val="24"/>
        </w:rPr>
      </w:pPr>
      <w:r>
        <w:rPr>
          <w:rFonts w:hint="default" w:ascii="Candara" w:hAnsi="Candara" w:cs="Candara"/>
        </w:rPr>
        <w:fldChar w:fldCharType="begin"/>
      </w:r>
      <w:r>
        <w:rPr>
          <w:rFonts w:hint="default" w:ascii="Candara" w:hAnsi="Candara" w:cs="Candara"/>
        </w:rPr>
        <w:instrText xml:space="preserve"> HYPERLINK "mailto:sadaf.zahra@ucp.edu.pk" </w:instrText>
      </w:r>
      <w:r>
        <w:rPr>
          <w:rFonts w:hint="default" w:ascii="Candara" w:hAnsi="Candara" w:cs="Candara"/>
        </w:rPr>
        <w:fldChar w:fldCharType="separate"/>
      </w:r>
      <w:r>
        <w:rPr>
          <w:rStyle w:val="20"/>
          <w:rFonts w:hint="default" w:ascii="Candara" w:hAnsi="Candara" w:cs="Candara"/>
          <w:sz w:val="24"/>
          <w:szCs w:val="24"/>
          <w:u w:val="none"/>
        </w:rPr>
        <w:t>sadaf.zahra@ucp.edu.pk</w:t>
      </w:r>
      <w:r>
        <w:rPr>
          <w:rStyle w:val="20"/>
          <w:rFonts w:hint="default" w:ascii="Candara" w:hAnsi="Candara" w:cs="Candara"/>
          <w:sz w:val="24"/>
          <w:szCs w:val="24"/>
          <w:u w:val="none"/>
        </w:rPr>
        <w:fldChar w:fldCharType="end"/>
      </w:r>
    </w:p>
    <w:p w14:paraId="4BB5C648">
      <w:pPr>
        <w:spacing w:line="24" w:lineRule="atLeast"/>
        <w:jc w:val="both"/>
        <w:rPr>
          <w:rFonts w:hint="default" w:ascii="Candara" w:hAnsi="Candara" w:cs="Candara"/>
          <w:sz w:val="24"/>
          <w:szCs w:val="24"/>
        </w:rPr>
      </w:pPr>
      <w:r>
        <w:rPr>
          <w:rFonts w:hint="default" w:ascii="Candara" w:hAnsi="Candara" w:cs="Candara"/>
        </w:rPr>
        <w:fldChar w:fldCharType="begin"/>
      </w:r>
      <w:r>
        <w:rPr>
          <w:rFonts w:hint="default" w:ascii="Candara" w:hAnsi="Candara" w:cs="Candara"/>
        </w:rPr>
        <w:instrText xml:space="preserve"> HYPERLINK "https://orcid.org/0000-0003-3417-2292" </w:instrText>
      </w:r>
      <w:r>
        <w:rPr>
          <w:rFonts w:hint="default" w:ascii="Candara" w:hAnsi="Candara" w:cs="Candara"/>
        </w:rPr>
        <w:fldChar w:fldCharType="separate"/>
      </w:r>
      <w:r>
        <w:rPr>
          <w:rStyle w:val="20"/>
          <w:rFonts w:hint="default" w:ascii="Candara" w:hAnsi="Candara" w:cs="Candara"/>
          <w:sz w:val="24"/>
          <w:szCs w:val="24"/>
          <w:u w:val="none"/>
        </w:rPr>
        <w:t>https://orcid.org/0000-0003-3417-2292</w:t>
      </w:r>
      <w:r>
        <w:rPr>
          <w:rStyle w:val="20"/>
          <w:rFonts w:hint="default" w:ascii="Candara" w:hAnsi="Candara" w:cs="Candara"/>
          <w:sz w:val="24"/>
          <w:szCs w:val="24"/>
          <w:u w:val="none"/>
        </w:rPr>
        <w:fldChar w:fldCharType="end"/>
      </w:r>
      <w:r>
        <w:rPr>
          <w:rFonts w:hint="default" w:ascii="Candara" w:hAnsi="Candara" w:cs="Candara"/>
          <w:sz w:val="24"/>
          <w:szCs w:val="24"/>
        </w:rPr>
        <w:t xml:space="preserve"> </w:t>
      </w:r>
    </w:p>
    <w:p w14:paraId="178482A3">
      <w:pPr>
        <w:spacing w:line="24" w:lineRule="atLeast"/>
        <w:jc w:val="both"/>
        <w:rPr>
          <w:rFonts w:hint="default" w:ascii="Candara" w:hAnsi="Candara" w:cs="Candara"/>
          <w:b/>
          <w:bCs/>
          <w:sz w:val="24"/>
          <w:szCs w:val="24"/>
        </w:rPr>
      </w:pPr>
      <w:r>
        <w:rPr>
          <w:rFonts w:hint="default" w:ascii="Candara" w:hAnsi="Candara" w:cs="Candara"/>
          <w:b/>
          <w:bCs/>
          <w:sz w:val="24"/>
          <w:szCs w:val="24"/>
        </w:rPr>
        <w:t>Dr. Zaheer Ud Din Babar</w:t>
      </w:r>
    </w:p>
    <w:p w14:paraId="51946FD2">
      <w:pPr>
        <w:spacing w:line="24" w:lineRule="atLeast"/>
        <w:jc w:val="both"/>
        <w:rPr>
          <w:rFonts w:hint="default" w:ascii="Candara" w:hAnsi="Candara" w:cs="Candara"/>
          <w:sz w:val="24"/>
          <w:szCs w:val="24"/>
        </w:rPr>
      </w:pPr>
      <w:r>
        <w:rPr>
          <w:rFonts w:hint="default" w:ascii="Candara" w:hAnsi="Candara" w:cs="Candara"/>
          <w:sz w:val="24"/>
          <w:szCs w:val="24"/>
        </w:rPr>
        <w:t>Assistant Professor, Department of Media and Communication Studies, National University of Modern Languages, Lahore</w:t>
      </w:r>
    </w:p>
    <w:p w14:paraId="4692A581">
      <w:pPr>
        <w:spacing w:line="24" w:lineRule="atLeast"/>
        <w:jc w:val="both"/>
        <w:rPr>
          <w:rFonts w:hint="default" w:ascii="Candara" w:hAnsi="Candara" w:cs="Candara"/>
          <w:sz w:val="24"/>
          <w:szCs w:val="24"/>
        </w:rPr>
      </w:pPr>
      <w:r>
        <w:rPr>
          <w:rFonts w:hint="default" w:ascii="Candara" w:hAnsi="Candara" w:cs="Candara"/>
        </w:rPr>
        <w:fldChar w:fldCharType="begin"/>
      </w:r>
      <w:r>
        <w:rPr>
          <w:rFonts w:hint="default" w:ascii="Candara" w:hAnsi="Candara" w:cs="Candara"/>
        </w:rPr>
        <w:instrText xml:space="preserve"> HYPERLINK "mailto:zaheerbabar@numl.edu.pk" </w:instrText>
      </w:r>
      <w:r>
        <w:rPr>
          <w:rFonts w:hint="default" w:ascii="Candara" w:hAnsi="Candara" w:cs="Candara"/>
        </w:rPr>
        <w:fldChar w:fldCharType="separate"/>
      </w:r>
      <w:r>
        <w:rPr>
          <w:rStyle w:val="20"/>
          <w:rFonts w:hint="default" w:ascii="Candara" w:hAnsi="Candara" w:cs="Candara"/>
          <w:sz w:val="24"/>
          <w:szCs w:val="24"/>
          <w:u w:val="none"/>
        </w:rPr>
        <w:t>zaheerbabar@numl.edu.pk</w:t>
      </w:r>
      <w:r>
        <w:rPr>
          <w:rStyle w:val="20"/>
          <w:rFonts w:hint="default" w:ascii="Candara" w:hAnsi="Candara" w:cs="Candara"/>
          <w:sz w:val="24"/>
          <w:szCs w:val="24"/>
          <w:u w:val="none"/>
        </w:rPr>
        <w:fldChar w:fldCharType="end"/>
      </w:r>
    </w:p>
    <w:p w14:paraId="02E41404">
      <w:pPr>
        <w:spacing w:line="24" w:lineRule="atLeast"/>
        <w:jc w:val="both"/>
        <w:rPr>
          <w:rFonts w:hint="default" w:ascii="Candara" w:hAnsi="Candara" w:cs="Candara"/>
          <w:sz w:val="24"/>
          <w:szCs w:val="24"/>
        </w:rPr>
      </w:pPr>
      <w:r>
        <w:rPr>
          <w:rFonts w:hint="default" w:ascii="Candara" w:hAnsi="Candara" w:cs="Candara"/>
        </w:rPr>
        <w:fldChar w:fldCharType="begin"/>
      </w:r>
      <w:r>
        <w:rPr>
          <w:rFonts w:hint="default" w:ascii="Candara" w:hAnsi="Candara" w:cs="Candara"/>
        </w:rPr>
        <w:instrText xml:space="preserve"> HYPERLINK "https://orcid.org/0009-0007-0801-9186" </w:instrText>
      </w:r>
      <w:r>
        <w:rPr>
          <w:rFonts w:hint="default" w:ascii="Candara" w:hAnsi="Candara" w:cs="Candara"/>
        </w:rPr>
        <w:fldChar w:fldCharType="separate"/>
      </w:r>
      <w:r>
        <w:rPr>
          <w:rStyle w:val="20"/>
          <w:rFonts w:hint="default" w:ascii="Candara" w:hAnsi="Candara" w:cs="Candara"/>
          <w:sz w:val="24"/>
          <w:szCs w:val="24"/>
          <w:u w:val="none"/>
        </w:rPr>
        <w:t>https://orcid.org/0009-0007-0801-9186</w:t>
      </w:r>
      <w:r>
        <w:rPr>
          <w:rStyle w:val="20"/>
          <w:rFonts w:hint="default" w:ascii="Candara" w:hAnsi="Candara" w:cs="Candara"/>
          <w:sz w:val="24"/>
          <w:szCs w:val="24"/>
          <w:u w:val="none"/>
        </w:rPr>
        <w:fldChar w:fldCharType="end"/>
      </w:r>
    </w:p>
    <w:p w14:paraId="7A4F0028">
      <w:pPr>
        <w:jc w:val="both"/>
        <w:rPr>
          <w:rFonts w:hint="default" w:ascii="Candara" w:hAnsi="Candara" w:cs="Candara"/>
          <w:b/>
          <w:bCs/>
          <w:sz w:val="24"/>
          <w:szCs w:val="24"/>
        </w:rPr>
      </w:pPr>
    </w:p>
    <w:p w14:paraId="1E349F30">
      <w:pPr>
        <w:jc w:val="both"/>
        <w:rPr>
          <w:rFonts w:hint="default" w:ascii="Candara" w:hAnsi="Candara" w:eastAsia="Times New Roman" w:cs="Candara"/>
          <w:b/>
          <w:bCs/>
          <w:sz w:val="24"/>
          <w:szCs w:val="24"/>
          <w:lang w:eastAsia="en-GB"/>
        </w:rPr>
      </w:pPr>
      <w:bookmarkStart w:id="1" w:name="_GoBack"/>
      <w:bookmarkEnd w:id="1"/>
      <w:r>
        <w:rPr>
          <w:rFonts w:hint="default" w:ascii="Candara" w:hAnsi="Candara" w:eastAsia="Times New Roman" w:cs="Candara"/>
          <w:b/>
          <w:bCs/>
          <w:sz w:val="24"/>
          <w:szCs w:val="24"/>
          <w:lang w:eastAsia="en-GB"/>
        </w:rPr>
        <w:t>Abstract</w:t>
      </w:r>
    </w:p>
    <w:p w14:paraId="7895D139">
      <w:pPr>
        <w:spacing w:line="24" w:lineRule="atLeast"/>
        <w:jc w:val="both"/>
        <w:rPr>
          <w:rFonts w:hint="default" w:ascii="Candara" w:hAnsi="Candara" w:cs="Candara"/>
          <w:sz w:val="24"/>
          <w:szCs w:val="24"/>
        </w:rPr>
      </w:pPr>
      <w:r>
        <w:rPr>
          <w:rFonts w:hint="default" w:ascii="Candara" w:hAnsi="Candara" w:cs="Candara"/>
          <w:sz w:val="24"/>
          <w:szCs w:val="24"/>
        </w:rPr>
        <w:t>There is an ongoing debate on sustainability communication in the digital environment due to greenwashing and issues of legitimacy in environmental communications. In this regard, this paper aims to investigate the perception of audience of sustainability against greenwashing through social media platforms. It analyzes recent research related to sustainability communications from 2016 to 2025 and evaluates the effect of social media platforms, influencer marketing, visual communication, digital literacy, and social norms on sustainability communications. It highlights the significant role of influencer credibility, visual elements, engagement metrics, and algorithmic amplification in the audience perceptions, thereby making it hard to determine what is real sustainability communication and what is merely an environmental PR stunt. At the same time, there are substantial research gaps especially in terms of audience-based detection mechanisms in less developed nations.</w:t>
      </w:r>
    </w:p>
    <w:p w14:paraId="19A12CF9">
      <w:pPr>
        <w:spacing w:line="24" w:lineRule="atLeast"/>
        <w:jc w:val="both"/>
        <w:rPr>
          <w:rFonts w:hint="default" w:ascii="Candara" w:hAnsi="Candara" w:cs="Candara"/>
          <w:b/>
          <w:bCs/>
          <w:i/>
          <w:iCs/>
          <w:sz w:val="24"/>
          <w:szCs w:val="24"/>
        </w:rPr>
      </w:pPr>
    </w:p>
    <w:p w14:paraId="26886BB3">
      <w:pPr>
        <w:spacing w:line="24" w:lineRule="atLeast"/>
        <w:jc w:val="both"/>
        <w:rPr>
          <w:rFonts w:hint="default" w:ascii="Candara" w:hAnsi="Candara" w:cs="Candara"/>
          <w:sz w:val="24"/>
          <w:szCs w:val="24"/>
        </w:rPr>
      </w:pPr>
      <w:r>
        <w:rPr>
          <w:rFonts w:hint="default" w:ascii="Candara" w:hAnsi="Candara" w:cs="Candara"/>
          <w:b/>
          <w:bCs/>
          <w:sz w:val="24"/>
          <w:szCs w:val="24"/>
        </w:rPr>
        <w:t>Keywords:</w:t>
      </w:r>
      <w:r>
        <w:rPr>
          <w:rFonts w:hint="default" w:ascii="Candara" w:hAnsi="Candara" w:cs="Candara"/>
          <w:b/>
          <w:bCs/>
          <w:i/>
          <w:iCs/>
          <w:sz w:val="24"/>
          <w:szCs w:val="24"/>
        </w:rPr>
        <w:t xml:space="preserve"> </w:t>
      </w:r>
      <w:r>
        <w:rPr>
          <w:rFonts w:hint="default" w:ascii="Candara" w:hAnsi="Candara" w:cs="Candara"/>
          <w:sz w:val="24"/>
          <w:szCs w:val="24"/>
        </w:rPr>
        <w:t>Greenwashing, Sustainability Communication, Social Media, Influencer Marketing, Audience Perception.</w:t>
      </w:r>
    </w:p>
    <w:p w14:paraId="594A8497">
      <w:pPr>
        <w:pStyle w:val="21"/>
        <w:spacing w:before="0" w:beforeAutospacing="0" w:after="0" w:afterAutospacing="0"/>
        <w:jc w:val="both"/>
        <w:rPr>
          <w:rFonts w:hint="default" w:ascii="Candara" w:hAnsi="Candara" w:cs="Candara"/>
          <w:b/>
          <w:bCs/>
          <w:color w:val="0D0D0D" w:themeColor="text1" w:themeTint="F2"/>
          <w:lang w:val="en-US"/>
          <w14:textFill>
            <w14:solidFill>
              <w14:schemeClr w14:val="tx1">
                <w14:lumMod w14:val="95000"/>
                <w14:lumOff w14:val="5000"/>
              </w14:schemeClr>
            </w14:solidFill>
          </w14:textFill>
        </w:rPr>
      </w:pPr>
    </w:p>
    <w:p w14:paraId="6D79A764">
      <w:pPr>
        <w:pStyle w:val="39"/>
        <w:numPr>
          <w:ilvl w:val="0"/>
          <w:numId w:val="1"/>
        </w:numPr>
        <w:spacing w:after="0" w:line="24" w:lineRule="atLeast"/>
        <w:ind w:left="0" w:firstLine="0"/>
        <w:jc w:val="both"/>
        <w:rPr>
          <w:rFonts w:hint="default" w:ascii="Candara" w:hAnsi="Candara" w:cs="Candara"/>
          <w:b/>
          <w:bCs/>
        </w:rPr>
      </w:pPr>
      <w:r>
        <w:rPr>
          <w:rFonts w:hint="default" w:ascii="Candara" w:hAnsi="Candara" w:cs="Candara"/>
          <w:b/>
          <w:bCs/>
        </w:rPr>
        <w:t>Introduction</w:t>
      </w:r>
    </w:p>
    <w:p w14:paraId="6F17A32F">
      <w:pPr>
        <w:pStyle w:val="21"/>
        <w:spacing w:before="0" w:beforeAutospacing="0" w:after="0" w:afterAutospacing="0" w:line="24" w:lineRule="atLeast"/>
        <w:jc w:val="both"/>
        <w:rPr>
          <w:rFonts w:hint="default" w:ascii="Candara" w:hAnsi="Candara" w:cs="Candara"/>
        </w:rPr>
      </w:pPr>
      <w:r>
        <w:rPr>
          <w:rFonts w:hint="default" w:ascii="Candara" w:hAnsi="Candara" w:cs="Candara"/>
        </w:rPr>
        <w:t>The escalating climate crisis has catalysed a fundamental paradigm shift in the global marketplace, transitioning environmental responsibility from a peripheral corporate concern to a central pillar of brand equity. In the contemporary digital economy, sustainability is no longer merely a “moral add-on” but has become the primary operating system for modern enterprise (IMD Business School, 2026). As companies race to align with the United Nations Sustainable Development Goals (SDGs) and satisfy an increasingly eco-conscious demographic, the volume of environmental claims in digital advertising has reached unprecedented levels. However, this surge in “green” messaging has birthed a dual reality.</w:t>
      </w:r>
    </w:p>
    <w:p w14:paraId="78DC25A7">
      <w:pPr>
        <w:pStyle w:val="21"/>
        <w:spacing w:before="0" w:beforeAutospacing="0" w:after="0" w:afterAutospacing="0" w:line="24" w:lineRule="atLeast"/>
        <w:jc w:val="both"/>
        <w:rPr>
          <w:rFonts w:hint="default" w:ascii="Candara" w:hAnsi="Candara" w:cs="Candara"/>
        </w:rPr>
      </w:pPr>
      <w:r>
        <w:rPr>
          <w:rFonts w:hint="default" w:ascii="Candara" w:hAnsi="Candara" w:cs="Candara"/>
        </w:rPr>
        <w:t>While genuine sustainability initiatives are reaching new heights of transparency through blockchain-verified supply chains and rigorous Life Cycle Assessments (LCA), a parallel and more sophisticated surge in deceptive practices—known as greenwashing—is rapidly eroding the foundation of consumer trust (Driftime, 2025; Sajid et al., 2024).</w:t>
      </w:r>
      <w:r>
        <w:rPr>
          <w:rFonts w:hint="default" w:ascii="Candara" w:hAnsi="Candara" w:cs="Candara"/>
          <w:lang w:val="en-US"/>
        </w:rPr>
        <w:t xml:space="preserve"> </w:t>
      </w:r>
      <w:r>
        <w:rPr>
          <w:rFonts w:hint="default" w:ascii="Candara" w:hAnsi="Candara" w:cs="Candara"/>
        </w:rPr>
        <w:t xml:space="preserve">Greenwashing is defined as the strategic misrepresentation or selective disclosure of a company’s environmental performance, designed to create an illusory image of ecological responsibility (Timmons et al., 2024). In the digital age, this phenomenon has evolved beyond the “seven sins” of greenwashing identified in early literature to include “algorithmic greenwashing,” where AI-driven marketing tools generate automated, often unsubstantiated eco-claims tailored to specific consumer vulnerabilities (ResearchGate, 2026). </w:t>
      </w:r>
    </w:p>
    <w:p w14:paraId="309D60F2">
      <w:pPr>
        <w:pStyle w:val="21"/>
        <w:spacing w:before="0" w:beforeAutospacing="0" w:after="0" w:afterAutospacing="0" w:line="24" w:lineRule="atLeast"/>
        <w:jc w:val="both"/>
        <w:rPr>
          <w:rFonts w:hint="default" w:ascii="Candara" w:hAnsi="Candara" w:cs="Candara"/>
        </w:rPr>
      </w:pPr>
      <w:r>
        <w:rPr>
          <w:rFonts w:hint="default" w:ascii="Candara" w:hAnsi="Candara" w:cs="Candara"/>
        </w:rPr>
        <w:t>Recent data suggests that the digital medium acts as a force multiplier for such deception; a 2024 cross-sector analysis revealed that approximately 42% of corporate environmental claims on digital platforms were exaggerated, false, or lacked verifiable evidence (European Commission, 2023; Sajid et al., 2024). This pervasive ambiguity is not merely a marketing ethics issue but a systemic risk to the global green transition, as it diverts capital away from truly sustainable innovations and toward firms that prioritize perception over performance (MDPI, 2025).</w:t>
      </w:r>
    </w:p>
    <w:p w14:paraId="209CDF56">
      <w:pPr>
        <w:pStyle w:val="21"/>
        <w:spacing w:before="0" w:beforeAutospacing="0" w:after="0" w:afterAutospacing="0" w:line="24" w:lineRule="atLeast"/>
        <w:jc w:val="both"/>
        <w:rPr>
          <w:rFonts w:hint="default" w:ascii="Candara" w:hAnsi="Candara" w:cs="Candara"/>
        </w:rPr>
      </w:pPr>
      <w:r>
        <w:rPr>
          <w:rFonts w:hint="default" w:ascii="Candara" w:hAnsi="Candara" w:cs="Candara"/>
        </w:rPr>
        <w:t>The tension between genuine sustainability and greenwashing creates a state of belief disconfirmation within the consumer psyche. When a brand’s digital narrative—often characterized by natural motifs, “green” aesthetics, and vague terminology such as “net-zero” or “carbon-neutral”—is contradicted by its actual operational footprint, consumers experience a psychological phenomenon known as “green confusion” (Nisa et al., 2022; Tarabieh, 2021). Current research indicates that this confusion serves as a critical barrier to sustainable consumption. When consumers lack the cognitive tools or transparent data to verify the “greenness” of a product, they default to a state of generalized skepticism, often referred to as green skepticism (Bladt et al., 2024). This skepticism is particularly damaging to genuine sustainable brands, as the “pre-bunking” effect suggests that once a consumer identifies greenwashing in one brand, they are statistically more likely to view all sustainability claims within that sector with suspicion, regardless of their authenticity (Timmons et al., 2024).</w:t>
      </w:r>
    </w:p>
    <w:p w14:paraId="3D309B4B">
      <w:pPr>
        <w:pStyle w:val="21"/>
        <w:spacing w:before="0" w:beforeAutospacing="0" w:after="0" w:afterAutospacing="0" w:line="24" w:lineRule="atLeast"/>
        <w:jc w:val="both"/>
        <w:rPr>
          <w:rFonts w:hint="default" w:ascii="Candara" w:hAnsi="Candara" w:cs="Candara"/>
        </w:rPr>
      </w:pPr>
      <w:r>
        <w:rPr>
          <w:rFonts w:hint="default" w:ascii="Candara" w:hAnsi="Candara" w:cs="Candara"/>
        </w:rPr>
        <w:t>The year 2026 marks a decisive turning point in the regulation of digital environmental claims, shifting the landscape from voluntary “soft law” to stringent “hard law” enforcement. Regulatory bodies have recognized that the informational asymmetry between corporations and consumers in the digital space requires aggressive intervention. The European Union’s Green Claims Directive, set for comprehensive enforcement in mid-2026, mandates that any environmental claim must be backed by a verified, standardized methodology (European Commission, 2025). Similarly, in the United Kingdom, the Digital Markets, Competition and Consumers Act (DMCCA) now grants the Competition and Markets Authority (CMA) the power to levy fines of up to 10% of a firm’s global turnover for misleading digital environmental claims (Cse-net, 2025). These legislative shifts, coupled with the Corporate Sustainability Reporting Directive (CSRD), are forcing a convergence between a company’s audited ESG performance and its digital marketing output, effectively narrowing the gap where greenwashing once thrived (Driftime, 2025).</w:t>
      </w:r>
    </w:p>
    <w:p w14:paraId="0CC256CE">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Despite these regulatory advancements, the psychological and behavioral impacts of greenwashing on consumer perception remain complex and multifaceted. The “value-action gap”—the discrepancy between a consumer’s stated environmental values and their actual purchasing behavior—is often widened by the presence of perceived greenwashing. Empirical studies in 2025 and 2026 have demonstrated a significant negative correlation ($r = -0.33$) between the perception of greenwashing and purchase intention, suggesting that moral outrage and the feeling of being “duped” are more powerful drivers of consumer behavior than the environmental claim itself (ResearchGate, 2026; Sajid et al., 2024). </w:t>
      </w:r>
    </w:p>
    <w:p w14:paraId="1688C60D">
      <w:pPr>
        <w:pStyle w:val="21"/>
        <w:spacing w:before="0" w:beforeAutospacing="0" w:after="0" w:afterAutospacing="0" w:line="24" w:lineRule="atLeast"/>
        <w:jc w:val="both"/>
        <w:rPr>
          <w:rFonts w:hint="default" w:ascii="Candara" w:hAnsi="Candara" w:cs="Candara"/>
        </w:rPr>
      </w:pPr>
      <w:r>
        <w:rPr>
          <w:rFonts w:hint="default" w:ascii="Candara" w:hAnsi="Candara" w:cs="Candara"/>
        </w:rPr>
        <w:t>Furthermore, the impact is more pronounced at the firm level than the product level; while a single misleading product claim might be forgiven, systemic firm-level greenwashing is seen as a breach of the fundamental brand-consumer contract, leading to long-term brand equity erosion and boycotting behaviour (Bladt et al., 2024).This systematic review addresses the critical need for a synthesized understanding of the interplay between digital advertising, greenwashing tactics, and consumer perception. By evaluating the most recent literature and the 2026 regulatory landscape, this study seeks to delineate the specific digital mechanisms—such as social media “green-nudging” and influencer-led eco-marketing—that contribute to or combat greenwashing. The significance of this research lies in its dual utility: providing a framework for brands to navigate the new era of radical transparency and offering consumers the analytical tools to distinguish between authentic ecological commitment and predatory marketing facades. As the global economy moves toward a mandatory disclosure environment, understanding the nuances of genuine sustainability versus greenwashing is no longer an academic exercise but a prerequisite for corporate survival and meaningful environmental progress.</w:t>
      </w:r>
    </w:p>
    <w:p w14:paraId="18229074">
      <w:pPr>
        <w:pStyle w:val="21"/>
        <w:spacing w:before="0" w:beforeAutospacing="0" w:after="0" w:afterAutospacing="0" w:line="24" w:lineRule="atLeast"/>
        <w:jc w:val="both"/>
        <w:rPr>
          <w:rFonts w:hint="default" w:ascii="Candara" w:hAnsi="Candara" w:cs="Candara"/>
        </w:rPr>
      </w:pPr>
    </w:p>
    <w:p w14:paraId="010C80AB">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lang w:val="en-US"/>
        </w:rPr>
        <w:t>2.</w:t>
      </w:r>
      <w:r>
        <w:rPr>
          <w:rFonts w:hint="default" w:ascii="Candara" w:hAnsi="Candara" w:cs="Candara"/>
          <w:b/>
          <w:bCs/>
          <w:lang w:val="en-US"/>
        </w:rPr>
        <w:tab/>
      </w:r>
      <w:r>
        <w:rPr>
          <w:rFonts w:hint="default" w:ascii="Candara" w:hAnsi="Candara" w:cs="Candara"/>
          <w:b/>
          <w:bCs/>
          <w:lang w:val="en-US"/>
        </w:rPr>
        <w:t>Literature Review</w:t>
      </w:r>
    </w:p>
    <w:p w14:paraId="57B0E162">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2.1. </w:t>
      </w:r>
      <w:r>
        <w:rPr>
          <w:rFonts w:hint="default" w:ascii="Candara" w:hAnsi="Candara" w:cs="Candara"/>
          <w:bCs/>
          <w:color w:val="auto"/>
          <w:sz w:val="24"/>
          <w:szCs w:val="24"/>
        </w:rPr>
        <w:tab/>
      </w:r>
      <w:r>
        <w:rPr>
          <w:rFonts w:hint="default" w:ascii="Candara" w:hAnsi="Candara" w:cs="Candara"/>
          <w:bCs/>
          <w:color w:val="auto"/>
          <w:sz w:val="24"/>
          <w:szCs w:val="24"/>
        </w:rPr>
        <w:t>The Typological Evolution of Digital Greenwashing</w:t>
      </w:r>
    </w:p>
    <w:p w14:paraId="37C34E76">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Whereas greenwashing used to be considered a sporadic practice, it is nowadays defined as a “systemic digital facade” by researchers. Currently, greenwashing is not about making a mistake during the marketing process; rather, greenwashing is viewed as a strategic way for companies to secure their market share within an environmentally conscious economic landscape. As evidenced by RepRisk’s analytical data (RepRisk 2024), greenwashing-related cases in businesses increased by 25% on a yearly basis, and one out of four climate-related ESG risk cases can be associated with miscommunication. This means that in the face of growing demands for </w:t>
      </w:r>
      <w:r>
        <w:rPr>
          <w:rFonts w:hint="default" w:ascii="Candara" w:hAnsi="Candara" w:cs="Candara"/>
          <w:lang w:val="en-US"/>
        </w:rPr>
        <w:t>“</w:t>
      </w:r>
      <w:r>
        <w:rPr>
          <w:rFonts w:hint="default" w:ascii="Candara" w:hAnsi="Candara" w:cs="Candara"/>
        </w:rPr>
        <w:t>Net Zero</w:t>
      </w:r>
      <w:r>
        <w:rPr>
          <w:rFonts w:hint="default" w:ascii="Candara" w:hAnsi="Candara" w:cs="Candara"/>
          <w:lang w:val="en-US"/>
        </w:rPr>
        <w:t>”</w:t>
      </w:r>
      <w:r>
        <w:rPr>
          <w:rFonts w:hint="default" w:ascii="Candara" w:hAnsi="Candara" w:cs="Candara"/>
        </w:rPr>
        <w:t xml:space="preserve"> compliance, firms choose narrative alignment over operational transformation.</w:t>
      </w:r>
    </w:p>
    <w:p w14:paraId="5AA5CC59">
      <w:pPr>
        <w:pStyle w:val="21"/>
        <w:spacing w:before="0" w:beforeAutospacing="0" w:after="0" w:afterAutospacing="0" w:line="24" w:lineRule="atLeast"/>
        <w:jc w:val="both"/>
        <w:rPr>
          <w:rFonts w:hint="default" w:ascii="Candara" w:hAnsi="Candara" w:cs="Candara"/>
        </w:rPr>
      </w:pPr>
      <w:r>
        <w:rPr>
          <w:rFonts w:hint="default" w:ascii="Candara" w:hAnsi="Candara" w:cs="Candara"/>
        </w:rPr>
        <w:t>An important aspect that must be addressed during this process of development is the idea of “Symbolic vs. Substantive Communication.” According to studies by Zio</w:t>
      </w:r>
      <w:r>
        <w:rPr>
          <w:rFonts w:hint="default" w:ascii="Candara" w:hAnsi="Candara" w:cs="Candara"/>
        </w:rPr>
        <w:t>ł</w:t>
      </w:r>
      <w:r>
        <w:rPr>
          <w:rFonts w:hint="default" w:ascii="Candara" w:hAnsi="Candara" w:cs="Candara"/>
        </w:rPr>
        <w:t>o et al. (2024), social media, especially Instagram and TikTok, have contributed to the adoption of a new “visual-first” approach to greenwashing. Indeed, it can be concluded from research conducted by the above scholars that around 60% of consumers find visual tropes to be misleading.</w:t>
      </w:r>
    </w:p>
    <w:p w14:paraId="259D571D">
      <w:pPr>
        <w:spacing w:line="24" w:lineRule="atLeast"/>
        <w:jc w:val="both"/>
        <w:rPr>
          <w:rFonts w:hint="default" w:ascii="Candara" w:hAnsi="Candara" w:cs="Candara"/>
          <w:sz w:val="24"/>
          <w:szCs w:val="24"/>
        </w:rPr>
      </w:pPr>
      <w:r>
        <w:rPr>
          <w:rFonts w:hint="default" w:ascii="Candara" w:hAnsi="Candara" w:cs="Candara"/>
          <w:sz w:val="24"/>
          <w:szCs w:val="24"/>
        </w:rPr>
        <w:t>The purpose of such “symbolic” communication is to activate the emotion-based reasoning of the consumer in order to build an unconscious association with the natural element without involving logical thinking. On the other hand, “substantive” communication can be defined as one that involves providing raw information, third-party verification, and blockchain evidence of supply chain milestones. According to academic studies, the distance between both types of communications can be viewed as the indicator of greenwashing risk (Kantar, 2023; Zio</w:t>
      </w:r>
      <w:r>
        <w:rPr>
          <w:rFonts w:hint="default" w:ascii="Candara" w:hAnsi="Candara" w:cs="Candara"/>
          <w:sz w:val="24"/>
          <w:szCs w:val="24"/>
        </w:rPr>
        <w:t>ł</w:t>
      </w:r>
      <w:r>
        <w:rPr>
          <w:rFonts w:hint="default" w:ascii="Candara" w:hAnsi="Candara" w:cs="Candara"/>
          <w:sz w:val="24"/>
          <w:szCs w:val="24"/>
        </w:rPr>
        <w:t>o et al., 2024).</w:t>
      </w:r>
    </w:p>
    <w:p w14:paraId="2023B2C7">
      <w:pPr>
        <w:spacing w:line="24" w:lineRule="atLeast"/>
        <w:jc w:val="both"/>
        <w:rPr>
          <w:rFonts w:hint="default" w:ascii="Candara" w:hAnsi="Candara" w:cs="Candara"/>
          <w:sz w:val="24"/>
          <w:szCs w:val="24"/>
        </w:rPr>
      </w:pPr>
    </w:p>
    <w:p w14:paraId="148E3B76">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2.2. </w:t>
      </w:r>
      <w:r>
        <w:rPr>
          <w:rFonts w:hint="default" w:ascii="Candara" w:hAnsi="Candara" w:cs="Candara"/>
          <w:bCs/>
          <w:color w:val="auto"/>
          <w:sz w:val="24"/>
          <w:szCs w:val="24"/>
        </w:rPr>
        <w:tab/>
      </w:r>
      <w:r>
        <w:rPr>
          <w:rFonts w:hint="default" w:ascii="Candara" w:hAnsi="Candara" w:cs="Candara"/>
          <w:bCs/>
          <w:color w:val="auto"/>
          <w:sz w:val="24"/>
          <w:szCs w:val="24"/>
        </w:rPr>
        <w:t>Psychological Mediators: Trust, Skepticism, and the “Green Confusion”</w:t>
      </w:r>
    </w:p>
    <w:p w14:paraId="2F8BD611">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How greenwashing affects the perception of consumers has now become one of the areas of research interest under Signal Theory. If the company sends out a </w:t>
      </w:r>
      <w:r>
        <w:rPr>
          <w:rFonts w:hint="default" w:ascii="Candara" w:hAnsi="Candara" w:cs="Candara"/>
          <w:lang w:val="en-US"/>
        </w:rPr>
        <w:t>“</w:t>
      </w:r>
      <w:r>
        <w:rPr>
          <w:rFonts w:hint="default" w:ascii="Candara" w:hAnsi="Candara" w:cs="Candara"/>
        </w:rPr>
        <w:t>green signal</w:t>
      </w:r>
      <w:r>
        <w:rPr>
          <w:rFonts w:hint="default" w:ascii="Candara" w:hAnsi="Candara" w:cs="Candara"/>
          <w:lang w:val="en-US"/>
        </w:rPr>
        <w:t>”</w:t>
      </w:r>
      <w:r>
        <w:rPr>
          <w:rFonts w:hint="default" w:ascii="Candara" w:hAnsi="Candara" w:cs="Candara"/>
        </w:rPr>
        <w:t xml:space="preserve"> which turns out to be untrue at a later point in time, the </w:t>
      </w:r>
      <w:r>
        <w:rPr>
          <w:rFonts w:hint="default" w:ascii="Candara" w:hAnsi="Candara" w:cs="Candara"/>
          <w:lang w:val="en-US"/>
        </w:rPr>
        <w:t>“</w:t>
      </w:r>
      <w:r>
        <w:rPr>
          <w:rFonts w:hint="default" w:ascii="Candara" w:hAnsi="Candara" w:cs="Candara"/>
        </w:rPr>
        <w:t>disconfirmation of belief</w:t>
      </w:r>
      <w:r>
        <w:rPr>
          <w:rFonts w:hint="default" w:ascii="Candara" w:hAnsi="Candara" w:cs="Candara"/>
          <w:lang w:val="en-US"/>
        </w:rPr>
        <w:t>”</w:t>
      </w:r>
      <w:r>
        <w:rPr>
          <w:rFonts w:hint="default" w:ascii="Candara" w:hAnsi="Candara" w:cs="Candara"/>
        </w:rPr>
        <w:t xml:space="preserve"> results in severe brand erosion for the firm. Empirical studies using structural equation modelling have found a strong negative correlation ($\beta = -0.68$) between the extent of greenwashing and consumer trust, as discovered by Sajid et al. (2024). This is not restricted to just the affected brand, but spreads to an entire industry in a phenomenon known as a </w:t>
      </w:r>
      <w:r>
        <w:rPr>
          <w:rFonts w:hint="default" w:ascii="Candara" w:hAnsi="Candara" w:cs="Candara"/>
          <w:lang w:val="en-US"/>
        </w:rPr>
        <w:t>“</w:t>
      </w:r>
      <w:r>
        <w:rPr>
          <w:rFonts w:hint="default" w:ascii="Candara" w:hAnsi="Candara" w:cs="Candara"/>
        </w:rPr>
        <w:t>spillover effect</w:t>
      </w:r>
      <w:r>
        <w:rPr>
          <w:rFonts w:hint="default" w:ascii="Candara" w:hAnsi="Candara" w:cs="Candara"/>
          <w:lang w:val="en-US"/>
        </w:rPr>
        <w:t>”</w:t>
      </w:r>
      <w:r>
        <w:rPr>
          <w:rFonts w:hint="default" w:ascii="Candara" w:hAnsi="Candara" w:cs="Candara"/>
        </w:rPr>
        <w:t>. Timmons et al. (2024) describe this as the effect of “pre-bunking,” which is a cognitive protection mechanism developed by consumers who are burnt once due to a deceptive green signal.</w:t>
      </w:r>
    </w:p>
    <w:p w14:paraId="22A0067F">
      <w:pPr>
        <w:spacing w:line="24" w:lineRule="atLeast"/>
        <w:jc w:val="both"/>
        <w:rPr>
          <w:rFonts w:hint="default" w:ascii="Candara" w:hAnsi="Candara" w:cs="Candara"/>
          <w:sz w:val="24"/>
          <w:szCs w:val="24"/>
        </w:rPr>
      </w:pPr>
      <w:r>
        <w:rPr>
          <w:rFonts w:hint="default" w:ascii="Candara" w:hAnsi="Candara" w:cs="Candara"/>
          <w:sz w:val="24"/>
          <w:szCs w:val="24"/>
        </w:rPr>
        <w:t>Moreover, “Green Perceived Risk” appears to be one of the major obstacles on the path to sustainability. Along with the development of advertising in the digital age, consumers face the phenomenon of “Green Perceived Confusion,” where it becomes too demanding for the consumer to validate the claim compared to the consumer's ability to put up with such cognitive burden. According to Huang et al. (2025) and MDPI (2025), this confusion leads to creating a “market of lemons” in which the legitimate sustainable product becomes pushed out of the market since it lacks the ability to compete with cheap, greenwashed rivals due to consumer confusion. This statement is confirmed by Statista (2025) reports showing that more than 75% of people in developed countries such as France doubt green claims made by companies nowadays.</w:t>
      </w:r>
    </w:p>
    <w:p w14:paraId="7025F214">
      <w:pPr>
        <w:spacing w:line="24" w:lineRule="atLeast"/>
        <w:jc w:val="both"/>
        <w:rPr>
          <w:rFonts w:hint="default" w:ascii="Candara" w:hAnsi="Candara" w:cs="Candara"/>
          <w:sz w:val="24"/>
          <w:szCs w:val="24"/>
        </w:rPr>
      </w:pPr>
    </w:p>
    <w:p w14:paraId="7AC4CF17">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2.3. </w:t>
      </w:r>
      <w:r>
        <w:rPr>
          <w:rFonts w:hint="default" w:ascii="Candara" w:hAnsi="Candara" w:cs="Candara"/>
          <w:bCs/>
          <w:color w:val="auto"/>
          <w:sz w:val="24"/>
          <w:szCs w:val="24"/>
        </w:rPr>
        <w:tab/>
      </w:r>
      <w:r>
        <w:rPr>
          <w:rFonts w:hint="default" w:ascii="Candara" w:hAnsi="Candara" w:cs="Candara"/>
          <w:bCs/>
          <w:color w:val="auto"/>
          <w:sz w:val="24"/>
          <w:szCs w:val="24"/>
        </w:rPr>
        <w:t>The Paradox of AI: “Algorithmic Greenwashing” vs. “Green AI”</w:t>
      </w:r>
    </w:p>
    <w:p w14:paraId="6B499FDC">
      <w:pPr>
        <w:pStyle w:val="21"/>
        <w:spacing w:before="0" w:beforeAutospacing="0" w:after="0" w:afterAutospacing="0" w:line="24" w:lineRule="atLeast"/>
        <w:jc w:val="both"/>
        <w:rPr>
          <w:rFonts w:hint="default" w:ascii="Candara" w:hAnsi="Candara" w:cs="Candara"/>
        </w:rPr>
      </w:pPr>
      <w:r>
        <w:rPr>
          <w:rFonts w:hint="default" w:ascii="Candara" w:hAnsi="Candara" w:cs="Candara"/>
        </w:rPr>
        <w:t>One of the most ground</w:t>
      </w:r>
      <w:r>
        <w:rPr>
          <w:rFonts w:hint="default" w:ascii="Candara" w:hAnsi="Candara" w:cs="Candara"/>
          <w:lang w:val="en-US"/>
        </w:rPr>
        <w:t xml:space="preserve"> </w:t>
      </w:r>
      <w:r>
        <w:rPr>
          <w:rFonts w:hint="default" w:ascii="Candara" w:hAnsi="Candara" w:cs="Candara"/>
        </w:rPr>
        <w:t xml:space="preserve">breaking topics in studies between 2025 and 2026 is the double nature of AI’s application within the domain of environmental marketing. Firstly, according to ResearchGate (2026), </w:t>
      </w:r>
      <w:r>
        <w:rPr>
          <w:rFonts w:hint="default" w:ascii="Candara" w:hAnsi="Candara" w:cs="Candara"/>
          <w:lang w:val="en-US"/>
        </w:rPr>
        <w:t>“</w:t>
      </w:r>
      <w:r>
        <w:rPr>
          <w:rFonts w:hint="default" w:ascii="Candara" w:hAnsi="Candara" w:cs="Candara"/>
        </w:rPr>
        <w:t>Algorithmic Greenwashing</w:t>
      </w:r>
      <w:r>
        <w:rPr>
          <w:rFonts w:hint="default" w:ascii="Candara" w:hAnsi="Candara" w:cs="Candara"/>
          <w:lang w:val="en-US"/>
        </w:rPr>
        <w:t>”</w:t>
      </w:r>
      <w:r>
        <w:rPr>
          <w:rFonts w:hint="default" w:ascii="Candara" w:hAnsi="Candara" w:cs="Candara"/>
        </w:rPr>
        <w:t xml:space="preserve"> has become a term used to describe a process through which AI can be employed to determine environmentally anxious consumer clusters and personalize messages to them. It can be described as </w:t>
      </w:r>
      <w:r>
        <w:rPr>
          <w:rFonts w:hint="default" w:ascii="Candara" w:hAnsi="Candara" w:cs="Candara"/>
          <w:lang w:val="en-US"/>
        </w:rPr>
        <w:t>“</w:t>
      </w:r>
      <w:r>
        <w:rPr>
          <w:rFonts w:hint="default" w:ascii="Candara" w:hAnsi="Candara" w:cs="Candara"/>
        </w:rPr>
        <w:t>predatory greenwashing,</w:t>
      </w:r>
      <w:r>
        <w:rPr>
          <w:rFonts w:hint="default" w:ascii="Candara" w:hAnsi="Candara" w:cs="Candara"/>
          <w:lang w:val="en-US"/>
        </w:rPr>
        <w:t>”</w:t>
      </w:r>
      <w:r>
        <w:rPr>
          <w:rFonts w:hint="default" w:ascii="Candara" w:hAnsi="Candara" w:cs="Candara"/>
        </w:rPr>
        <w:t xml:space="preserve"> as consumers become targets for marketing campaigns due to their psychological predispositions.</w:t>
      </w:r>
    </w:p>
    <w:p w14:paraId="0286BA87">
      <w:pPr>
        <w:spacing w:line="24" w:lineRule="atLeast"/>
        <w:jc w:val="both"/>
        <w:rPr>
          <w:rFonts w:hint="default" w:ascii="Candara" w:hAnsi="Candara" w:cs="Candara"/>
          <w:sz w:val="24"/>
          <w:szCs w:val="24"/>
        </w:rPr>
      </w:pPr>
      <w:r>
        <w:rPr>
          <w:rFonts w:hint="default" w:ascii="Candara" w:hAnsi="Candara" w:cs="Candara"/>
          <w:sz w:val="24"/>
          <w:szCs w:val="24"/>
        </w:rPr>
        <w:t>In contrast, AI technology is described as the ultimate “verification engine.” According to R Discovery (2025), AI-powered supply chain monitoring, referred to as “Green AI,” has been established as the greatest predictor of sustainable consumers’ choices ($R^2 = 0.773$). If the AI technology helps achieve a real-time and immutable view of the carbon footprint of products or their labour conditions, then this can be considered the “radical transparency” needed to fight greenwashing. It has been suggested by the literature review that ethical behaviour of the brands in 2026 depends on how the technology is being utilized, either as “persuasive deception” or “verifiable proof.”</w:t>
      </w:r>
    </w:p>
    <w:p w14:paraId="05AE8D69">
      <w:pPr>
        <w:spacing w:line="24" w:lineRule="atLeast"/>
        <w:jc w:val="both"/>
        <w:rPr>
          <w:rFonts w:hint="default" w:ascii="Candara" w:hAnsi="Candara" w:cs="Candara"/>
          <w:sz w:val="24"/>
          <w:szCs w:val="24"/>
        </w:rPr>
      </w:pPr>
    </w:p>
    <w:p w14:paraId="1473A9C0">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2.4. </w:t>
      </w:r>
      <w:r>
        <w:rPr>
          <w:rFonts w:hint="default" w:ascii="Candara" w:hAnsi="Candara" w:cs="Candara"/>
          <w:bCs/>
          <w:color w:val="auto"/>
          <w:sz w:val="24"/>
          <w:szCs w:val="24"/>
        </w:rPr>
        <w:tab/>
      </w:r>
      <w:r>
        <w:rPr>
          <w:rFonts w:hint="default" w:ascii="Candara" w:hAnsi="Candara" w:cs="Candara"/>
          <w:bCs/>
          <w:color w:val="auto"/>
          <w:sz w:val="24"/>
          <w:szCs w:val="24"/>
        </w:rPr>
        <w:t>The 2026 Regulatory Pivot: From Voluntary to Mandatory</w:t>
      </w:r>
    </w:p>
    <w:p w14:paraId="3443E27D">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The year 2026 becomes significant in terms of literature, marking the point where </w:t>
      </w:r>
      <w:r>
        <w:rPr>
          <w:rFonts w:hint="default" w:ascii="Candara" w:hAnsi="Candara" w:cs="Candara"/>
          <w:lang w:val="en-US"/>
        </w:rPr>
        <w:t>“</w:t>
      </w:r>
      <w:r>
        <w:rPr>
          <w:rFonts w:hint="default" w:ascii="Candara" w:hAnsi="Candara" w:cs="Candara"/>
        </w:rPr>
        <w:t>voluntary CSR</w:t>
      </w:r>
      <w:r>
        <w:rPr>
          <w:rFonts w:hint="default" w:ascii="Candara" w:hAnsi="Candara" w:cs="Candara"/>
          <w:lang w:val="en-US"/>
        </w:rPr>
        <w:t>”</w:t>
      </w:r>
      <w:r>
        <w:rPr>
          <w:rFonts w:hint="default" w:ascii="Candara" w:hAnsi="Candara" w:cs="Candara"/>
        </w:rPr>
        <w:t xml:space="preserve"> ends and </w:t>
      </w:r>
      <w:r>
        <w:rPr>
          <w:rFonts w:hint="default" w:ascii="Candara" w:hAnsi="Candara" w:cs="Candara"/>
          <w:lang w:val="en-US"/>
        </w:rPr>
        <w:t>“</w:t>
      </w:r>
      <w:r>
        <w:rPr>
          <w:rFonts w:hint="default" w:ascii="Candara" w:hAnsi="Candara" w:cs="Candara"/>
        </w:rPr>
        <w:t>mandatory ESG liability</w:t>
      </w:r>
      <w:r>
        <w:rPr>
          <w:rFonts w:hint="default" w:ascii="Candara" w:hAnsi="Candara" w:cs="Candara"/>
          <w:lang w:val="en-US"/>
        </w:rPr>
        <w:t>”</w:t>
      </w:r>
      <w:r>
        <w:rPr>
          <w:rFonts w:hint="default" w:ascii="Candara" w:hAnsi="Candara" w:cs="Candara"/>
        </w:rPr>
        <w:t xml:space="preserve"> begins. From the reviews of the EU Green Claims Directive and UK's Digital Markets, Competition and Consumers Act (DMCCA), the risk-reward ratio is shifting away from the previously defined </w:t>
      </w:r>
      <w:r>
        <w:rPr>
          <w:rFonts w:hint="default" w:ascii="Candara" w:hAnsi="Candara" w:cs="Candara"/>
          <w:lang w:val="en-US"/>
        </w:rPr>
        <w:t>“</w:t>
      </w:r>
      <w:r>
        <w:rPr>
          <w:rFonts w:hint="default" w:ascii="Candara" w:hAnsi="Candara" w:cs="Candara"/>
        </w:rPr>
        <w:t>low-risk, high-reward</w:t>
      </w:r>
      <w:r>
        <w:rPr>
          <w:rFonts w:hint="default" w:ascii="Candara" w:hAnsi="Candara" w:cs="Candara"/>
          <w:lang w:val="en-US"/>
        </w:rPr>
        <w:t>”</w:t>
      </w:r>
      <w:r>
        <w:rPr>
          <w:rFonts w:hint="default" w:ascii="Candara" w:hAnsi="Candara" w:cs="Candara"/>
        </w:rPr>
        <w:t xml:space="preserve"> strategy of greenwashing. As per the new policy, companies are required to pay fines amounting to 10% of their global turnover for any misleading information disseminated digitally (Cse-net, 2025; Driftime, 2025).</w:t>
      </w:r>
    </w:p>
    <w:p w14:paraId="2B54A566">
      <w:pPr>
        <w:spacing w:line="24" w:lineRule="atLeast"/>
        <w:jc w:val="both"/>
        <w:rPr>
          <w:rFonts w:hint="default" w:ascii="Candara" w:hAnsi="Candara" w:cs="Candara"/>
          <w:sz w:val="24"/>
          <w:szCs w:val="24"/>
        </w:rPr>
      </w:pPr>
      <w:r>
        <w:rPr>
          <w:rFonts w:hint="default" w:ascii="Candara" w:hAnsi="Candara" w:cs="Candara"/>
          <w:sz w:val="24"/>
          <w:szCs w:val="24"/>
        </w:rPr>
        <w:t>It has been observed that such regulations are actually “closing the gap” between green claims in marketing and what gets verified. According to the European Commission (2025), 53% of all green claims made were historically inaccurate or lacked proof, which was intended to be brought down via mandating third-party auditing in the upcoming year of 2026. The effectiveness of such stringent regulations is proved by empirical research done in the Netherlands where there was an observable reduction in greenwashing practices by 48%, after strict regulatory measures were undertaken (HKA, 2025; RepRisk, 2024).</w:t>
      </w:r>
    </w:p>
    <w:p w14:paraId="6959FCED">
      <w:pPr>
        <w:spacing w:line="24" w:lineRule="atLeast"/>
        <w:jc w:val="both"/>
        <w:rPr>
          <w:rFonts w:hint="default" w:ascii="Candara" w:hAnsi="Candara" w:cs="Candara"/>
          <w:sz w:val="24"/>
          <w:szCs w:val="24"/>
        </w:rPr>
      </w:pPr>
    </w:p>
    <w:p w14:paraId="3C490181">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2.5. </w:t>
      </w:r>
      <w:r>
        <w:rPr>
          <w:rFonts w:hint="default" w:ascii="Candara" w:hAnsi="Candara" w:cs="Candara"/>
          <w:bCs/>
          <w:color w:val="auto"/>
          <w:sz w:val="24"/>
          <w:szCs w:val="24"/>
        </w:rPr>
        <w:tab/>
      </w:r>
      <w:r>
        <w:rPr>
          <w:rFonts w:hint="default" w:ascii="Candara" w:hAnsi="Candara" w:cs="Candara"/>
          <w:bCs/>
          <w:color w:val="auto"/>
          <w:sz w:val="24"/>
          <w:szCs w:val="24"/>
        </w:rPr>
        <w:t>Authentic Sustainability: Radical Transparency and Performance Durability</w:t>
      </w:r>
    </w:p>
    <w:p w14:paraId="57CB7526">
      <w:pPr>
        <w:pStyle w:val="21"/>
        <w:spacing w:before="0" w:beforeAutospacing="0" w:after="0" w:afterAutospacing="0" w:line="24" w:lineRule="atLeast"/>
        <w:jc w:val="both"/>
        <w:rPr>
          <w:rFonts w:hint="default" w:ascii="Candara" w:hAnsi="Candara" w:cs="Candara"/>
        </w:rPr>
      </w:pPr>
      <w:r>
        <w:rPr>
          <w:rFonts w:hint="default" w:ascii="Candara" w:hAnsi="Candara" w:cs="Candara"/>
        </w:rPr>
        <w:t>Finally, the review examines the characteristics of brands that have successfully bypassed the greenwashing trap. The literature identifies “Radical Transparency” as the emerging gold standard for authentic sustainability. Brands that disclose their raw, unedited ESG data—including their failures and areas for improvement—are found to be significantly more credible than those claiming “perfection.” This is known as “Two-Sided Messaging.” Research by Wang &amp; Wang (2023) and Milfeld &amp; Pittman (2024) demonstrates that acknowledging environmental challenges actually increases consumer trust, as it signals a level of honesty that “one-sided” greenwashing lacks.</w:t>
      </w:r>
    </w:p>
    <w:p w14:paraId="335A10FE">
      <w:pPr>
        <w:pStyle w:val="21"/>
        <w:spacing w:before="0" w:beforeAutospacing="0" w:after="0" w:afterAutospacing="0" w:line="24" w:lineRule="atLeast"/>
        <w:jc w:val="both"/>
        <w:rPr>
          <w:rFonts w:hint="default" w:ascii="Candara" w:hAnsi="Candara" w:cs="Candara"/>
        </w:rPr>
      </w:pPr>
      <w:r>
        <w:rPr>
          <w:rFonts w:hint="default" w:ascii="Candara" w:hAnsi="Candara" w:cs="Candara"/>
        </w:rPr>
        <w:t>Furthermore, the concept of “Performance Durability” has emerged in 2026 scholarship. This framework suggests that genuine sustainability is measured by a firm's ability to maintain ecological standards over long durations without “operational drag.” AWEB Digital (2026) and IJFMR (2025) argue that the future of digital advertising lies in “low-friction transparency,” where a consumer can click on a digital ad and immediately access an audited, blockchain-verified impact report for that specific product. This shift from “storytelling” to “truth-telling” is defined as the only viable path to restoring the broken trust between corporations and the modern eco-conscious consumer.</w:t>
      </w:r>
    </w:p>
    <w:p w14:paraId="214AA01D">
      <w:pPr>
        <w:pStyle w:val="21"/>
        <w:spacing w:before="0" w:beforeAutospacing="0" w:after="0" w:afterAutospacing="0" w:line="24" w:lineRule="atLeast"/>
        <w:jc w:val="both"/>
        <w:rPr>
          <w:rFonts w:hint="default" w:ascii="Candara" w:hAnsi="Candara" w:cs="Candara"/>
        </w:rPr>
      </w:pPr>
    </w:p>
    <w:p w14:paraId="46ED4915">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 </w:t>
      </w:r>
      <w:r>
        <w:rPr>
          <w:rFonts w:hint="default" w:ascii="Candara" w:hAnsi="Candara" w:cs="Candara"/>
          <w:b/>
          <w:bCs/>
        </w:rPr>
        <w:tab/>
      </w:r>
      <w:r>
        <w:rPr>
          <w:rFonts w:hint="default" w:ascii="Candara" w:hAnsi="Candara" w:cs="Candara"/>
          <w:b/>
          <w:bCs/>
        </w:rPr>
        <w:t>Theoretical Framework</w:t>
      </w:r>
    </w:p>
    <w:p w14:paraId="18198E96">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3.1 </w:t>
      </w:r>
      <w:r>
        <w:rPr>
          <w:rFonts w:hint="default" w:ascii="Candara" w:hAnsi="Candara" w:cs="Candara"/>
          <w:b/>
          <w:bCs/>
        </w:rPr>
        <w:tab/>
      </w:r>
      <w:r>
        <w:rPr>
          <w:rFonts w:hint="default" w:ascii="Candara" w:hAnsi="Candara" w:cs="Candara"/>
          <w:b/>
          <w:bCs/>
        </w:rPr>
        <w:t>Overview of Theoretical Foundations</w:t>
      </w:r>
    </w:p>
    <w:p w14:paraId="277FCFCF">
      <w:pPr>
        <w:pStyle w:val="21"/>
        <w:spacing w:before="0" w:beforeAutospacing="0" w:after="0" w:afterAutospacing="0" w:line="24" w:lineRule="atLeast"/>
        <w:jc w:val="both"/>
        <w:rPr>
          <w:rFonts w:hint="default" w:ascii="Candara" w:hAnsi="Candara" w:cs="Candara"/>
        </w:rPr>
      </w:pPr>
      <w:r>
        <w:rPr>
          <w:rFonts w:hint="default" w:ascii="Candara" w:hAnsi="Candara" w:cs="Candara"/>
        </w:rPr>
        <w:t>Understanding the dynamics of greenwashing and genuine sustainability in digital advertising requires a multidisciplinary theoretical foundation that integrates perspectives from communication, psychology, and consumer behavior. This study adopts a multi-theoretical approach by drawing on Signaling Theory, Attribution Theory, the Elaboration Likelihood Model (ELM), and Advertising Skepticism Theory. These frameworks collectively explain how environmental claims are communicated by firms, interpreted by consumers, cognitively processed, and ultimately translated into attitudinal and behavioral responses.</w:t>
      </w:r>
    </w:p>
    <w:p w14:paraId="6D53FE54">
      <w:pPr>
        <w:pStyle w:val="21"/>
        <w:spacing w:before="0" w:beforeAutospacing="0" w:after="0" w:afterAutospacing="0" w:line="24" w:lineRule="atLeast"/>
        <w:jc w:val="both"/>
        <w:rPr>
          <w:rFonts w:hint="default" w:ascii="Candara" w:hAnsi="Candara" w:cs="Candara"/>
        </w:rPr>
      </w:pPr>
      <w:r>
        <w:rPr>
          <w:rFonts w:hint="default" w:ascii="Candara" w:hAnsi="Candara" w:cs="Candara"/>
        </w:rPr>
        <w:t>The integration of these theories is particularly relevant in digital environments, where information asymmetry, persuasive design, and algorithm-driven content exposure complicate consumer decision-making processes. By applying these theoretical lenses, this study seeks to provide a comprehensive understanding of how greenwashing practices influence consumer perception and how genuine sustainability efforts can foster trust and credibility.</w:t>
      </w:r>
    </w:p>
    <w:p w14:paraId="4A50DD51">
      <w:pPr>
        <w:pStyle w:val="21"/>
        <w:spacing w:before="0" w:beforeAutospacing="0" w:after="0" w:afterAutospacing="0" w:line="24" w:lineRule="atLeast"/>
        <w:jc w:val="both"/>
        <w:rPr>
          <w:rFonts w:hint="default" w:ascii="Candara" w:hAnsi="Candara" w:cs="Candara"/>
        </w:rPr>
      </w:pPr>
    </w:p>
    <w:p w14:paraId="1B474F8F">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3.2 </w:t>
      </w:r>
      <w:r>
        <w:rPr>
          <w:rFonts w:hint="default" w:ascii="Candara" w:hAnsi="Candara" w:cs="Candara"/>
          <w:b/>
          <w:bCs/>
        </w:rPr>
        <w:tab/>
      </w:r>
      <w:r>
        <w:rPr>
          <w:rFonts w:hint="default" w:ascii="Candara" w:hAnsi="Candara" w:cs="Candara"/>
          <w:b/>
          <w:bCs/>
        </w:rPr>
        <w:t>Signaling Theory and Environmental Communication</w:t>
      </w:r>
    </w:p>
    <w:p w14:paraId="19C3E057">
      <w:pPr>
        <w:pStyle w:val="21"/>
        <w:spacing w:before="0" w:beforeAutospacing="0" w:after="0" w:afterAutospacing="0" w:line="24" w:lineRule="atLeast"/>
        <w:jc w:val="both"/>
        <w:rPr>
          <w:rFonts w:hint="default" w:ascii="Candara" w:hAnsi="Candara" w:cs="Candara"/>
        </w:rPr>
      </w:pPr>
      <w:r>
        <w:rPr>
          <w:rFonts w:hint="default" w:ascii="Candara" w:hAnsi="Candara" w:cs="Candara"/>
        </w:rPr>
        <w:t>Signaling Theory serves as a foundational framework for examining how firms communicate sustainability-related information to consumers. In markets characterized by information asymmetry, firms use signals—such as environmental claims, eco-labels, and sustainability narratives—to convey unobservable qualities (Sajid et al., 2024). These signals are intended to reduce uncertainty and enhance perceived credibility.</w:t>
      </w:r>
    </w:p>
    <w:p w14:paraId="0A8236B6">
      <w:pPr>
        <w:pStyle w:val="21"/>
        <w:spacing w:before="0" w:beforeAutospacing="0" w:after="0" w:afterAutospacing="0" w:line="24" w:lineRule="atLeast"/>
        <w:jc w:val="both"/>
        <w:rPr>
          <w:rFonts w:hint="default" w:ascii="Candara" w:hAnsi="Candara" w:cs="Candara"/>
        </w:rPr>
      </w:pPr>
      <w:r>
        <w:rPr>
          <w:rFonts w:hint="default" w:ascii="Candara" w:hAnsi="Candara" w:cs="Candara"/>
        </w:rPr>
        <w:t>However, the effectiveness of such signals depends on their cost, transparency, and verifiability. Greenwashing emerges when firms employ low-cost, ambiguous, or unverifiable signals to create a misleading impression of environmental responsibility (Timmons et al., 2024). Examples include vague claims such as “eco-friendly” or the use of nature-based imagery without substantive evidence. In contrast, genuine sustainability is reflected in high-cost signals, including third-party certifications, detailed environmental disclosures, and verifiable performance metrics.</w:t>
      </w:r>
    </w:p>
    <w:p w14:paraId="40799412">
      <w:pPr>
        <w:pStyle w:val="21"/>
        <w:spacing w:before="0" w:beforeAutospacing="0" w:after="0" w:afterAutospacing="0" w:line="24" w:lineRule="atLeast"/>
        <w:jc w:val="both"/>
        <w:rPr>
          <w:rFonts w:hint="default" w:ascii="Candara" w:hAnsi="Candara" w:cs="Candara"/>
        </w:rPr>
      </w:pPr>
      <w:r>
        <w:rPr>
          <w:rFonts w:hint="default" w:ascii="Candara" w:hAnsi="Candara" w:cs="Candara"/>
        </w:rPr>
        <w:t>The application of Signaling Theory in this study is crucial for understanding the strategic motivations behind green advertising and the mechanisms through which firms attempt to influence consumer perceptions. It also explains why deceptive signaling leads to a breakdown of trust when consumers identify inconsistencies between communicated claims and actual practices. Empirical evidence demonstrates that perceived greenwashing significantly reduces consumer trust and weakens purchase intentions (Sajid et al., 2024), highlighting the importance of credible signaling in sustainable marketing.</w:t>
      </w:r>
    </w:p>
    <w:p w14:paraId="133259F9">
      <w:pPr>
        <w:pStyle w:val="21"/>
        <w:spacing w:before="0" w:beforeAutospacing="0" w:after="0" w:afterAutospacing="0" w:line="24" w:lineRule="atLeast"/>
        <w:jc w:val="both"/>
        <w:rPr>
          <w:rFonts w:hint="default" w:ascii="Candara" w:hAnsi="Candara" w:cs="Candara"/>
        </w:rPr>
      </w:pPr>
    </w:p>
    <w:p w14:paraId="0DB25A5C">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3.3 </w:t>
      </w:r>
      <w:r>
        <w:rPr>
          <w:rFonts w:hint="default" w:ascii="Candara" w:hAnsi="Candara" w:cs="Candara"/>
          <w:b/>
          <w:bCs/>
        </w:rPr>
        <w:tab/>
      </w:r>
      <w:r>
        <w:rPr>
          <w:rFonts w:hint="default" w:ascii="Candara" w:hAnsi="Candara" w:cs="Candara"/>
          <w:b/>
          <w:bCs/>
        </w:rPr>
        <w:t>Attribution Theory and Consumer Interpretation of Green Claims</w:t>
      </w:r>
    </w:p>
    <w:p w14:paraId="0E41380B">
      <w:pPr>
        <w:pStyle w:val="21"/>
        <w:spacing w:before="0" w:beforeAutospacing="0" w:after="0" w:afterAutospacing="0" w:line="24" w:lineRule="atLeast"/>
        <w:jc w:val="both"/>
        <w:rPr>
          <w:rFonts w:hint="default" w:ascii="Candara" w:hAnsi="Candara" w:cs="Candara"/>
        </w:rPr>
      </w:pPr>
      <w:r>
        <w:rPr>
          <w:rFonts w:hint="default" w:ascii="Candara" w:hAnsi="Candara" w:cs="Candara"/>
        </w:rPr>
        <w:t>While Signaling Theory explains how messages are sent, Attribution Theory focuses on how these messages are interpreted by consumers. This theory posits that individuals actively evaluate the underlying motives of organizational actions, categorizing them as either intrinsic (genuine concern) or extrinsic (self-serving or profit-driven) (Nisa et al., 2022).</w:t>
      </w:r>
    </w:p>
    <w:p w14:paraId="770FAF72">
      <w:pPr>
        <w:pStyle w:val="21"/>
        <w:spacing w:before="0" w:beforeAutospacing="0" w:after="0" w:afterAutospacing="0" w:line="24" w:lineRule="atLeast"/>
        <w:jc w:val="both"/>
        <w:rPr>
          <w:rFonts w:hint="default" w:ascii="Candara" w:hAnsi="Candara" w:cs="Candara"/>
        </w:rPr>
      </w:pPr>
      <w:r>
        <w:rPr>
          <w:rFonts w:hint="default" w:ascii="Candara" w:hAnsi="Candara" w:cs="Candara"/>
        </w:rPr>
        <w:t>In the context of green advertising, consumers assess whether sustainability claims reflect authentic environmental commitment or opportunistic marketing strategies. When greenwashing is suspected, consumers are more likely to attribute self-serving motives to the firm, resulting in negative evaluations, reduced trust, and adverse behavioral responses such as avoidance or boycotting (Bladt et al., 2024). Conversely, when sustainability efforts are perceived as consistent and transparent, consumers attribute altruistic motives, which enhances brand credibility and long-term loyalty.</w:t>
      </w:r>
    </w:p>
    <w:p w14:paraId="2FCAA41F">
      <w:pPr>
        <w:pStyle w:val="21"/>
        <w:spacing w:before="0" w:beforeAutospacing="0" w:after="0" w:afterAutospacing="0" w:line="24" w:lineRule="atLeast"/>
        <w:jc w:val="both"/>
        <w:rPr>
          <w:rFonts w:hint="default" w:ascii="Candara" w:hAnsi="Candara" w:cs="Candara"/>
        </w:rPr>
      </w:pPr>
      <w:r>
        <w:rPr>
          <w:rFonts w:hint="default" w:ascii="Candara" w:hAnsi="Candara" w:cs="Candara"/>
        </w:rPr>
        <w:t>Attribution Theory is particularly useful for this study as it highlights the interpretive nature of consumer perception. It explains why identical sustainability messages may produce divergent responses depending on how consumers evaluate the firm’s intent. Furthermore, the concept of belief disconfirmation—where expectations are violated—helps explain the strong negative reactions associated with greenwashing, including diminished purchase intentions (Duffett &amp; Mxunyelwa, 2025).</w:t>
      </w:r>
    </w:p>
    <w:p w14:paraId="0C070EE9">
      <w:pPr>
        <w:pStyle w:val="21"/>
        <w:spacing w:before="0" w:beforeAutospacing="0" w:after="0" w:afterAutospacing="0" w:line="24" w:lineRule="atLeast"/>
        <w:jc w:val="both"/>
        <w:rPr>
          <w:rFonts w:hint="default" w:ascii="Candara" w:hAnsi="Candara" w:cs="Candara"/>
        </w:rPr>
      </w:pPr>
    </w:p>
    <w:p w14:paraId="05D3A55D">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3.4 </w:t>
      </w:r>
      <w:r>
        <w:rPr>
          <w:rFonts w:hint="default" w:ascii="Candara" w:hAnsi="Candara" w:cs="Candara"/>
          <w:b/>
          <w:bCs/>
        </w:rPr>
        <w:tab/>
      </w:r>
      <w:r>
        <w:rPr>
          <w:rFonts w:hint="default" w:ascii="Candara" w:hAnsi="Candara" w:cs="Candara"/>
          <w:b/>
          <w:bCs/>
        </w:rPr>
        <w:t>Elaboration Likelihood Model and Message Processing in Digital Media</w:t>
      </w:r>
    </w:p>
    <w:p w14:paraId="237B946A">
      <w:pPr>
        <w:pStyle w:val="21"/>
        <w:spacing w:before="0" w:beforeAutospacing="0" w:after="0" w:afterAutospacing="0" w:line="24" w:lineRule="atLeast"/>
        <w:jc w:val="both"/>
        <w:rPr>
          <w:rFonts w:hint="default" w:ascii="Candara" w:hAnsi="Candara" w:cs="Candara"/>
        </w:rPr>
      </w:pPr>
      <w:r>
        <w:rPr>
          <w:rFonts w:hint="default" w:ascii="Candara" w:hAnsi="Candara" w:cs="Candara"/>
        </w:rPr>
        <w:t>The Elaboration Likelihood Model (ELM) provides a framework for understanding how consumers process sustainability messages in digital advertising contexts. According to ELM, persuasion occurs through two distinct routes: the central route, which involves careful and deliberate evaluation of message content, and the peripheral route, which relies on superficial cues such as visuals, emotions, and source attractiveness.</w:t>
      </w:r>
    </w:p>
    <w:p w14:paraId="56F95FC1">
      <w:pPr>
        <w:pStyle w:val="21"/>
        <w:spacing w:before="0" w:beforeAutospacing="0" w:after="0" w:afterAutospacing="0" w:line="24" w:lineRule="atLeast"/>
        <w:jc w:val="both"/>
        <w:rPr>
          <w:rFonts w:hint="default" w:ascii="Candara" w:hAnsi="Candara" w:cs="Candara"/>
        </w:rPr>
      </w:pPr>
      <w:r>
        <w:rPr>
          <w:rFonts w:hint="default" w:ascii="Candara" w:hAnsi="Candara" w:cs="Candara"/>
        </w:rPr>
        <w:t>In digital environments, consumers are frequently exposed to large volumes of information, often leading to low involvement and reliance on peripheral processing. Green advertising commonly utilizes heuristic cues such as green color schemes, natural imagery, and influencer endorsements to create positive associations without requiring deep cognitive engagement (Zio</w:t>
      </w:r>
      <w:r>
        <w:rPr>
          <w:rFonts w:hint="default" w:ascii="Candara" w:hAnsi="Candara" w:cs="Candara"/>
        </w:rPr>
        <w:t>ł</w:t>
      </w:r>
      <w:r>
        <w:rPr>
          <w:rFonts w:hint="default" w:ascii="Candara" w:hAnsi="Candara" w:cs="Candara"/>
        </w:rPr>
        <w:t>o et al., 2024). This makes consumers more susceptible to greenwashing, as deceptive claims can be accepted without critical scrutiny.</w:t>
      </w:r>
    </w:p>
    <w:p w14:paraId="37DB4043">
      <w:pPr>
        <w:pStyle w:val="21"/>
        <w:spacing w:before="0" w:beforeAutospacing="0" w:after="0" w:afterAutospacing="0" w:line="24" w:lineRule="atLeast"/>
        <w:jc w:val="both"/>
        <w:rPr>
          <w:rFonts w:hint="default" w:ascii="Candara" w:hAnsi="Candara" w:cs="Candara"/>
        </w:rPr>
      </w:pPr>
      <w:r>
        <w:rPr>
          <w:rFonts w:hint="default" w:ascii="Candara" w:hAnsi="Candara" w:cs="Candara"/>
        </w:rPr>
        <w:t>In contrast, genuine sustainability communication encourages central route processing by providing detailed, verifiable information such as certifications, reports, and measurable environmental impact data. Research indicates that consumers with higher involvement and knowledge are more likely to engage in central processing and, consequently, better detect misleading claims (Huang et al., 2025).</w:t>
      </w:r>
    </w:p>
    <w:p w14:paraId="713D1950">
      <w:pPr>
        <w:pStyle w:val="21"/>
        <w:spacing w:before="0" w:beforeAutospacing="0" w:after="0" w:afterAutospacing="0" w:line="24" w:lineRule="atLeast"/>
        <w:jc w:val="both"/>
        <w:rPr>
          <w:rFonts w:hint="default" w:ascii="Candara" w:hAnsi="Candara" w:cs="Candara"/>
        </w:rPr>
      </w:pPr>
      <w:r>
        <w:rPr>
          <w:rFonts w:hint="default" w:ascii="Candara" w:hAnsi="Candara" w:cs="Candara"/>
        </w:rPr>
        <w:t>The relevance of ELM to this study lies in its ability to explain variations in consumer susceptibility to greenwashing and the role of digital media in shaping cognitive processing. It underscores the importance of both message design and consumer characteristics in determining the effectiveness of sustainability communication.</w:t>
      </w:r>
    </w:p>
    <w:p w14:paraId="184D73F3">
      <w:pPr>
        <w:pStyle w:val="21"/>
        <w:spacing w:before="0" w:beforeAutospacing="0" w:after="0" w:afterAutospacing="0" w:line="24" w:lineRule="atLeast"/>
        <w:jc w:val="both"/>
        <w:rPr>
          <w:rFonts w:hint="default" w:ascii="Candara" w:hAnsi="Candara" w:cs="Candara"/>
        </w:rPr>
      </w:pPr>
    </w:p>
    <w:p w14:paraId="5000FD22">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3.5 </w:t>
      </w:r>
      <w:r>
        <w:rPr>
          <w:rFonts w:hint="default" w:ascii="Candara" w:hAnsi="Candara" w:cs="Candara"/>
          <w:b/>
          <w:bCs/>
        </w:rPr>
        <w:tab/>
      </w:r>
      <w:r>
        <w:rPr>
          <w:rFonts w:hint="default" w:ascii="Candara" w:hAnsi="Candara" w:cs="Candara"/>
          <w:b/>
          <w:bCs/>
        </w:rPr>
        <w:t>Advertising Skepticism and Consumer Response to Greenwashing</w:t>
      </w:r>
    </w:p>
    <w:p w14:paraId="50FBF0EB">
      <w:pPr>
        <w:pStyle w:val="21"/>
        <w:spacing w:before="0" w:beforeAutospacing="0" w:after="0" w:afterAutospacing="0" w:line="24" w:lineRule="atLeast"/>
        <w:jc w:val="both"/>
        <w:rPr>
          <w:rFonts w:hint="default" w:ascii="Candara" w:hAnsi="Candara" w:cs="Candara"/>
        </w:rPr>
      </w:pPr>
      <w:r>
        <w:rPr>
          <w:rFonts w:hint="default" w:ascii="Candara" w:hAnsi="Candara" w:cs="Candara"/>
        </w:rPr>
        <w:t>Advertising Skepticism Theory provides insight into the attitudinal outcomes of repeated exposure to misleading or exaggerated claims. It suggests that consumers develop a generalized tendency to doubt the credibility of advertising messages, particularly when prior experiences have led to perceived deception (Timmons et al., 2024).</w:t>
      </w:r>
    </w:p>
    <w:p w14:paraId="6C5652F7">
      <w:pPr>
        <w:pStyle w:val="21"/>
        <w:spacing w:before="0" w:beforeAutospacing="0" w:after="0" w:afterAutospacing="0" w:line="24" w:lineRule="atLeast"/>
        <w:jc w:val="both"/>
        <w:rPr>
          <w:rFonts w:hint="default" w:ascii="Candara" w:hAnsi="Candara" w:cs="Candara"/>
        </w:rPr>
      </w:pPr>
      <w:r>
        <w:rPr>
          <w:rFonts w:hint="default" w:ascii="Candara" w:hAnsi="Candara" w:cs="Candara"/>
        </w:rPr>
        <w:t>In the context of green advertising, this skepticism manifests as “green skepticism,” where consumers question the authenticity of all environmental claims, regardless of their validity. This phenomenon is further exacerbated by information overload and lack of standardization in sustainability communication, leading to what is described as “green confusion” (Huang et al., 2025). As a result, consumers may adopt defensive strategies, such as ignoring sustainability claims or relying on heuristics rather than detailed evaluation.</w:t>
      </w:r>
    </w:p>
    <w:p w14:paraId="46B9C7A4">
      <w:pPr>
        <w:pStyle w:val="21"/>
        <w:spacing w:before="0" w:beforeAutospacing="0" w:after="0" w:afterAutospacing="0" w:line="24" w:lineRule="atLeast"/>
        <w:jc w:val="both"/>
        <w:rPr>
          <w:rFonts w:hint="default" w:ascii="Candara" w:hAnsi="Candara" w:cs="Candara"/>
        </w:rPr>
      </w:pPr>
      <w:r>
        <w:rPr>
          <w:rFonts w:hint="default" w:ascii="Candara" w:hAnsi="Candara" w:cs="Candara"/>
        </w:rPr>
        <w:t>The application of Advertising Skepticism Theory is essential for understanding the broader market implications of greenwashing. It explains how deceptive practices not only harm individual brands but also create a spillover effect, undermining trust in the entire category of sustainable products (Bladt et al., 2024). This poses a significant challenge for genuinely sustainable firms, as they must overcome heightened skepticism to establish credibility.</w:t>
      </w:r>
    </w:p>
    <w:p w14:paraId="602CA66F">
      <w:pPr>
        <w:pStyle w:val="21"/>
        <w:spacing w:before="0" w:beforeAutospacing="0" w:after="0" w:afterAutospacing="0" w:line="24" w:lineRule="atLeast"/>
        <w:jc w:val="both"/>
        <w:rPr>
          <w:rFonts w:hint="default" w:ascii="Candara" w:hAnsi="Candara" w:cs="Candara"/>
        </w:rPr>
      </w:pPr>
    </w:p>
    <w:p w14:paraId="2BF9D195">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3.6 </w:t>
      </w:r>
      <w:r>
        <w:rPr>
          <w:rFonts w:hint="default" w:ascii="Candara" w:hAnsi="Candara" w:cs="Candara"/>
          <w:b/>
          <w:bCs/>
        </w:rPr>
        <w:tab/>
      </w:r>
      <w:r>
        <w:rPr>
          <w:rFonts w:hint="default" w:ascii="Candara" w:hAnsi="Candara" w:cs="Candara"/>
          <w:b/>
          <w:bCs/>
        </w:rPr>
        <w:t>Integrated Theoretical Model</w:t>
      </w:r>
    </w:p>
    <w:p w14:paraId="29EA1221">
      <w:pPr>
        <w:pStyle w:val="21"/>
        <w:spacing w:before="0" w:beforeAutospacing="0" w:after="0" w:afterAutospacing="0" w:line="24" w:lineRule="atLeast"/>
        <w:jc w:val="both"/>
        <w:rPr>
          <w:rFonts w:hint="default" w:ascii="Candara" w:hAnsi="Candara" w:cs="Candara"/>
        </w:rPr>
      </w:pPr>
      <w:r>
        <w:rPr>
          <w:rFonts w:hint="default" w:ascii="Candara" w:hAnsi="Candara" w:cs="Candara"/>
        </w:rPr>
        <w:t>The integration of the aforementioned theories provides a comprehensive framework for analysing the relationship between digital advertising and consumer perception of sustainability. Specifically:</w:t>
      </w:r>
      <w:r>
        <w:rPr>
          <w:rFonts w:hint="default" w:ascii="Candara" w:hAnsi="Candara" w:cs="Candara"/>
          <w:lang w:val="en-US"/>
        </w:rPr>
        <w:t xml:space="preserve"> </w:t>
      </w:r>
      <w:r>
        <w:rPr>
          <w:rFonts w:hint="default" w:ascii="Candara" w:hAnsi="Candara" w:cs="Candara"/>
        </w:rPr>
        <w:t>Signaling Theory explains how firms construct and communicate environmental claims</w:t>
      </w:r>
      <w:r>
        <w:rPr>
          <w:rFonts w:hint="default" w:ascii="Candara" w:hAnsi="Candara" w:cs="Candara"/>
          <w:lang w:val="en-US"/>
        </w:rPr>
        <w:t xml:space="preserve">; </w:t>
      </w:r>
      <w:r>
        <w:rPr>
          <w:rFonts w:hint="default" w:ascii="Candara" w:hAnsi="Candara" w:cs="Candara"/>
        </w:rPr>
        <w:t>Attribution Theory explains how consumers interpret the motives behind these claims</w:t>
      </w:r>
      <w:r>
        <w:rPr>
          <w:rFonts w:hint="default" w:ascii="Candara" w:hAnsi="Candara" w:cs="Candara"/>
          <w:lang w:val="en-US"/>
        </w:rPr>
        <w:t xml:space="preserve">; </w:t>
      </w:r>
      <w:r>
        <w:rPr>
          <w:rFonts w:hint="default" w:ascii="Candara" w:hAnsi="Candara" w:cs="Candara"/>
        </w:rPr>
        <w:t>ELM explains how consumers cognitively process sustainability messages</w:t>
      </w:r>
      <w:r>
        <w:rPr>
          <w:rFonts w:hint="default" w:ascii="Candara" w:hAnsi="Candara" w:cs="Candara"/>
          <w:lang w:val="en-US"/>
        </w:rPr>
        <w:t xml:space="preserve">; </w:t>
      </w:r>
      <w:r>
        <w:rPr>
          <w:rFonts w:hint="default" w:ascii="Candara" w:hAnsi="Candara" w:cs="Candara"/>
        </w:rPr>
        <w:t>Advertising Skepticism Theory explains the resulting attitudes and behavioural outcomes</w:t>
      </w:r>
      <w:r>
        <w:rPr>
          <w:rFonts w:hint="default" w:ascii="Candara" w:hAnsi="Candara" w:cs="Candara"/>
          <w:lang w:val="en-US"/>
        </w:rPr>
        <w:t xml:space="preserve">. </w:t>
      </w:r>
      <w:r>
        <w:rPr>
          <w:rFonts w:hint="default" w:ascii="Candara" w:hAnsi="Candara" w:cs="Candara"/>
        </w:rPr>
        <w:t>This integrated model is particularly relevant in digital contexts, where the interplay between persuasive communication, cognitive processing, and prior experiences shapes consumer responses to sustainability claims.</w:t>
      </w:r>
    </w:p>
    <w:p w14:paraId="13C63D07">
      <w:pPr>
        <w:pStyle w:val="21"/>
        <w:spacing w:before="0" w:beforeAutospacing="0" w:after="0" w:afterAutospacing="0" w:line="24" w:lineRule="atLeast"/>
        <w:ind w:left="-1170"/>
        <w:jc w:val="both"/>
        <w:rPr>
          <w:rFonts w:hint="default" w:ascii="Candara" w:hAnsi="Candara" w:cs="Candara"/>
        </w:rPr>
      </w:pPr>
      <w:r>
        <w:rPr>
          <w:rFonts w:hint="default" w:ascii="Candara" w:hAnsi="Candara" w:cs="Candara"/>
        </w:rPr>
        <w:drawing>
          <wp:inline distT="0" distB="0" distL="0" distR="0">
            <wp:extent cx="7058025" cy="7762875"/>
            <wp:effectExtent l="0" t="0" r="9525" b="9525"/>
            <wp:docPr id="56236328" name="Picture 5623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6328" name="Picture 562363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058025" cy="7762875"/>
                    </a:xfrm>
                    <a:prstGeom prst="rect">
                      <a:avLst/>
                    </a:prstGeom>
                    <a:noFill/>
                    <a:ln>
                      <a:noFill/>
                    </a:ln>
                  </pic:spPr>
                </pic:pic>
              </a:graphicData>
            </a:graphic>
          </wp:inline>
        </w:drawing>
      </w:r>
    </w:p>
    <w:p w14:paraId="3720027F">
      <w:pPr>
        <w:pStyle w:val="21"/>
        <w:spacing w:before="0" w:beforeAutospacing="0" w:after="0" w:afterAutospacing="0" w:line="24" w:lineRule="atLeast"/>
        <w:jc w:val="both"/>
        <w:rPr>
          <w:rFonts w:hint="default" w:ascii="Candara" w:hAnsi="Candara" w:cs="Candara"/>
          <w:b/>
          <w:bCs/>
        </w:rPr>
      </w:pPr>
    </w:p>
    <w:p w14:paraId="620C8A84">
      <w:pPr>
        <w:pStyle w:val="21"/>
        <w:spacing w:before="0" w:beforeAutospacing="0" w:after="0" w:afterAutospacing="0" w:line="24" w:lineRule="atLeast"/>
        <w:jc w:val="both"/>
        <w:rPr>
          <w:rFonts w:hint="default" w:ascii="Candara" w:hAnsi="Candara" w:cs="Candara"/>
          <w:b/>
          <w:bCs/>
        </w:rPr>
      </w:pPr>
      <w:r>
        <w:rPr>
          <w:rFonts w:hint="default" w:ascii="Candara" w:hAnsi="Candara" w:cs="Candara"/>
          <w:b/>
          <w:bCs/>
        </w:rPr>
        <w:t xml:space="preserve">3.7 </w:t>
      </w:r>
      <w:r>
        <w:rPr>
          <w:rFonts w:hint="default" w:ascii="Candara" w:hAnsi="Candara" w:cs="Candara"/>
          <w:b/>
          <w:bCs/>
        </w:rPr>
        <w:tab/>
      </w:r>
      <w:r>
        <w:rPr>
          <w:rFonts w:hint="default" w:ascii="Candara" w:hAnsi="Candara" w:cs="Candara"/>
          <w:b/>
          <w:bCs/>
        </w:rPr>
        <w:t>Implications for the Present Study</w:t>
      </w:r>
    </w:p>
    <w:p w14:paraId="162AD5A1">
      <w:pPr>
        <w:pStyle w:val="21"/>
        <w:spacing w:before="0" w:beforeAutospacing="0" w:after="0" w:afterAutospacing="0" w:line="24" w:lineRule="atLeast"/>
        <w:jc w:val="both"/>
        <w:rPr>
          <w:rFonts w:hint="default" w:ascii="Candara" w:hAnsi="Candara" w:cs="Candara"/>
        </w:rPr>
      </w:pPr>
      <w:r>
        <w:rPr>
          <w:rFonts w:hint="default" w:ascii="Candara" w:hAnsi="Candara" w:cs="Candara"/>
        </w:rPr>
        <w:t>The adoption of this multi-theoretical framework enables the present study to systematically examine the complex interplay between greenwashing practices and consumer perception in digital advertising. It provides a robust foundation for identifying key determinants of trust, scepticism, and behavioural outcomes, while also facilitating the development of a conceptual model that captures the nuances of sustainability communication.</w:t>
      </w:r>
    </w:p>
    <w:p w14:paraId="045235A4">
      <w:pPr>
        <w:pStyle w:val="21"/>
        <w:spacing w:before="0" w:beforeAutospacing="0" w:after="0" w:afterAutospacing="0" w:line="24" w:lineRule="atLeast"/>
        <w:jc w:val="both"/>
        <w:rPr>
          <w:rFonts w:hint="default" w:ascii="Candara" w:hAnsi="Candara" w:cs="Candara"/>
        </w:rPr>
      </w:pPr>
      <w:r>
        <w:rPr>
          <w:rFonts w:hint="default" w:ascii="Candara" w:hAnsi="Candara" w:cs="Candara"/>
        </w:rPr>
        <w:t>By synthesizing insights from these theoretical perspectives, this study contributes to a deeper understanding of how authentic sustainability can be distinguished from deceptive practices, thereby informing both academic research and practical applications in ethical advertising and policy regulation.</w:t>
      </w:r>
    </w:p>
    <w:p w14:paraId="60E0983D">
      <w:pPr>
        <w:pStyle w:val="21"/>
        <w:spacing w:before="0" w:beforeAutospacing="0" w:after="0" w:afterAutospacing="0" w:line="24" w:lineRule="atLeast"/>
        <w:jc w:val="both"/>
        <w:rPr>
          <w:rFonts w:hint="default" w:ascii="Candara" w:hAnsi="Candara" w:cs="Candara"/>
        </w:rPr>
      </w:pPr>
    </w:p>
    <w:p w14:paraId="233D36D3">
      <w:pPr>
        <w:pStyle w:val="2"/>
        <w:spacing w:line="24" w:lineRule="atLeast"/>
        <w:ind w:left="0"/>
        <w:jc w:val="both"/>
        <w:rPr>
          <w:rFonts w:hint="default" w:ascii="Candara" w:hAnsi="Candara" w:cs="Candara"/>
          <w:b w:val="0"/>
          <w:bCs/>
        </w:rPr>
      </w:pPr>
      <w:r>
        <w:rPr>
          <w:rFonts w:hint="default" w:ascii="Candara" w:hAnsi="Candara" w:cs="Candara"/>
          <w:bCs/>
        </w:rPr>
        <w:t xml:space="preserve">4. </w:t>
      </w:r>
      <w:r>
        <w:rPr>
          <w:rFonts w:hint="default" w:ascii="Candara" w:hAnsi="Candara" w:cs="Candara"/>
          <w:bCs/>
        </w:rPr>
        <w:tab/>
      </w:r>
      <w:r>
        <w:rPr>
          <w:rFonts w:hint="default" w:ascii="Candara" w:hAnsi="Candara" w:cs="Candara"/>
          <w:bCs/>
        </w:rPr>
        <w:t>METHODOLOGY</w:t>
      </w:r>
    </w:p>
    <w:p w14:paraId="7E6D0E3F">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4.1 </w:t>
      </w:r>
      <w:r>
        <w:rPr>
          <w:rFonts w:hint="default" w:ascii="Candara" w:hAnsi="Candara" w:cs="Candara"/>
          <w:bCs/>
          <w:color w:val="auto"/>
          <w:sz w:val="24"/>
          <w:szCs w:val="24"/>
        </w:rPr>
        <w:tab/>
      </w:r>
      <w:r>
        <w:rPr>
          <w:rFonts w:hint="default" w:ascii="Candara" w:hAnsi="Candara" w:cs="Candara"/>
          <w:bCs/>
          <w:color w:val="auto"/>
          <w:sz w:val="24"/>
          <w:szCs w:val="24"/>
        </w:rPr>
        <w:t>Research Design</w:t>
      </w:r>
    </w:p>
    <w:p w14:paraId="38C87FAC">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This study adopts a </w:t>
      </w:r>
      <w:r>
        <w:rPr>
          <w:rStyle w:val="22"/>
          <w:rFonts w:hint="default" w:ascii="Candara" w:hAnsi="Candara" w:cs="Candara" w:eastAsiaTheme="majorEastAsia"/>
          <w:b w:val="0"/>
          <w:bCs w:val="0"/>
        </w:rPr>
        <w:t>Systematic Literature Review (SLR)</w:t>
      </w:r>
      <w:r>
        <w:rPr>
          <w:rFonts w:hint="default" w:ascii="Candara" w:hAnsi="Candara" w:cs="Candara"/>
        </w:rPr>
        <w:t xml:space="preserve"> design guided by the </w:t>
      </w:r>
      <w:r>
        <w:rPr>
          <w:rStyle w:val="22"/>
          <w:rFonts w:hint="default" w:ascii="Candara" w:hAnsi="Candara" w:cs="Candara" w:eastAsiaTheme="majorEastAsia"/>
          <w:b w:val="0"/>
          <w:bCs w:val="0"/>
        </w:rPr>
        <w:t>PRISMA (Preferred Reporting Items for Systematic Reviews and Meta-Analyses)</w:t>
      </w:r>
      <w:r>
        <w:rPr>
          <w:rFonts w:hint="default" w:ascii="Candara" w:hAnsi="Candara" w:cs="Candara"/>
        </w:rPr>
        <w:t xml:space="preserve"> framework. The PRISMA approach ensures methodological rigor, transparency, and replicability in identifying, screening, and synthesizing relevant scholarly literature.</w:t>
      </w:r>
    </w:p>
    <w:p w14:paraId="7ED6BBD4">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Unlike traditional narrative reviews, the systematic design enables a structured and reproducible process of evidence synthesis, minimizing selection bias and enhancing the reliability of findings. The study focuses on peer-reviewed academic literature examining greenwashing, sustainability communication, influencer marketing, and audience perception within digital and social media ecosystems between </w:t>
      </w:r>
      <w:r>
        <w:rPr>
          <w:rStyle w:val="22"/>
          <w:rFonts w:hint="default" w:ascii="Candara" w:hAnsi="Candara" w:cs="Candara" w:eastAsiaTheme="majorEastAsia"/>
          <w:b w:val="0"/>
          <w:bCs w:val="0"/>
        </w:rPr>
        <w:t>2016 and 2025</w:t>
      </w:r>
      <w:r>
        <w:rPr>
          <w:rFonts w:hint="default" w:ascii="Candara" w:hAnsi="Candara" w:cs="Candara"/>
        </w:rPr>
        <w:t>.</w:t>
      </w:r>
    </w:p>
    <w:p w14:paraId="0EF0A5C3">
      <w:pPr>
        <w:pStyle w:val="21"/>
        <w:spacing w:before="0" w:beforeAutospacing="0" w:after="0" w:afterAutospacing="0" w:line="24" w:lineRule="atLeast"/>
        <w:jc w:val="both"/>
        <w:rPr>
          <w:rFonts w:hint="default" w:ascii="Candara" w:hAnsi="Candara" w:cs="Candara"/>
        </w:rPr>
      </w:pPr>
    </w:p>
    <w:p w14:paraId="4113D320">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4.2 </w:t>
      </w:r>
      <w:r>
        <w:rPr>
          <w:rFonts w:hint="default" w:ascii="Candara" w:hAnsi="Candara" w:cs="Candara"/>
          <w:bCs/>
          <w:color w:val="auto"/>
          <w:sz w:val="24"/>
          <w:szCs w:val="24"/>
        </w:rPr>
        <w:tab/>
      </w:r>
      <w:r>
        <w:rPr>
          <w:rFonts w:hint="default" w:ascii="Candara" w:hAnsi="Candara" w:cs="Candara"/>
          <w:bCs/>
          <w:color w:val="auto"/>
          <w:sz w:val="24"/>
          <w:szCs w:val="24"/>
        </w:rPr>
        <w:t>Data Collection Method</w:t>
      </w:r>
    </w:p>
    <w:p w14:paraId="30974FB0">
      <w:pPr>
        <w:pStyle w:val="21"/>
        <w:spacing w:before="0" w:beforeAutospacing="0" w:after="0" w:afterAutospacing="0" w:line="24" w:lineRule="atLeast"/>
        <w:jc w:val="both"/>
        <w:rPr>
          <w:rFonts w:hint="default" w:ascii="Candara" w:hAnsi="Candara" w:cs="Candara"/>
        </w:rPr>
      </w:pPr>
      <w:r>
        <w:rPr>
          <w:rFonts w:hint="default" w:ascii="Candara" w:hAnsi="Candara" w:cs="Candara"/>
        </w:rPr>
        <w:t>Data were collected through a systematic search of major academic databases widely recognized in communication, marketing, and environmental research. These included:</w:t>
      </w:r>
    </w:p>
    <w:p w14:paraId="37D8DD58">
      <w:pPr>
        <w:widowControl/>
        <w:numPr>
          <w:ilvl w:val="0"/>
          <w:numId w:val="2"/>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Scopus </w:t>
      </w:r>
    </w:p>
    <w:p w14:paraId="15B03A9C">
      <w:pPr>
        <w:widowControl/>
        <w:numPr>
          <w:ilvl w:val="0"/>
          <w:numId w:val="2"/>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Web of Science </w:t>
      </w:r>
    </w:p>
    <w:p w14:paraId="24C52AA5">
      <w:pPr>
        <w:widowControl/>
        <w:numPr>
          <w:ilvl w:val="0"/>
          <w:numId w:val="2"/>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ScienceDirect </w:t>
      </w:r>
    </w:p>
    <w:p w14:paraId="3B01C9B8">
      <w:pPr>
        <w:widowControl/>
        <w:numPr>
          <w:ilvl w:val="0"/>
          <w:numId w:val="2"/>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Google Scholar </w:t>
      </w:r>
    </w:p>
    <w:p w14:paraId="4EA46026">
      <w:pPr>
        <w:pStyle w:val="21"/>
        <w:spacing w:before="0" w:beforeAutospacing="0" w:after="0" w:afterAutospacing="0" w:line="24" w:lineRule="atLeast"/>
        <w:jc w:val="both"/>
        <w:rPr>
          <w:rFonts w:hint="default" w:ascii="Candara" w:hAnsi="Candara" w:cs="Candara"/>
        </w:rPr>
      </w:pPr>
      <w:r>
        <w:rPr>
          <w:rFonts w:hint="default" w:ascii="Candara" w:hAnsi="Candara" w:cs="Candara"/>
        </w:rPr>
        <w:t>A comprehensive keyword search strategy was developed using Boolean operators to capture variations of relevant constructs. The final search string included combinations of:</w:t>
      </w:r>
    </w:p>
    <w:p w14:paraId="13097683">
      <w:pPr>
        <w:widowControl/>
        <w:numPr>
          <w:ilvl w:val="0"/>
          <w:numId w:val="3"/>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“greenwashing” AND “social media” </w:t>
      </w:r>
    </w:p>
    <w:p w14:paraId="6D1437DC">
      <w:pPr>
        <w:widowControl/>
        <w:numPr>
          <w:ilvl w:val="0"/>
          <w:numId w:val="3"/>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“sustainability communication” AND “audience perception” </w:t>
      </w:r>
    </w:p>
    <w:p w14:paraId="3BAFDC92">
      <w:pPr>
        <w:widowControl/>
        <w:numPr>
          <w:ilvl w:val="0"/>
          <w:numId w:val="3"/>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“CSR” AND “digital media” AND “greenwashing” </w:t>
      </w:r>
    </w:p>
    <w:p w14:paraId="64ADAB5F">
      <w:pPr>
        <w:widowControl/>
        <w:numPr>
          <w:ilvl w:val="0"/>
          <w:numId w:val="3"/>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“influencer marketing” AND “environmental authenticity” </w:t>
      </w:r>
    </w:p>
    <w:p w14:paraId="75944FA6">
      <w:pPr>
        <w:widowControl/>
        <w:numPr>
          <w:ilvl w:val="0"/>
          <w:numId w:val="3"/>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“genuine sustainability” AND “consumer skepticism” </w:t>
      </w:r>
    </w:p>
    <w:p w14:paraId="55C081F9">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The search was conducted for publications available between </w:t>
      </w:r>
      <w:r>
        <w:rPr>
          <w:rStyle w:val="22"/>
          <w:rFonts w:hint="default" w:ascii="Candara" w:hAnsi="Candara" w:cs="Candara" w:eastAsiaTheme="majorEastAsia"/>
          <w:b w:val="0"/>
          <w:bCs w:val="0"/>
        </w:rPr>
        <w:t>January 2016 and December 2025</w:t>
      </w:r>
      <w:r>
        <w:rPr>
          <w:rFonts w:hint="default" w:ascii="Candara" w:hAnsi="Candara" w:cs="Candara"/>
        </w:rPr>
        <w:t xml:space="preserve"> to ensure inclusion of contemporary digital communication dynamics.</w:t>
      </w:r>
    </w:p>
    <w:p w14:paraId="5547123C">
      <w:pPr>
        <w:pStyle w:val="21"/>
        <w:spacing w:before="0" w:beforeAutospacing="0" w:after="0" w:afterAutospacing="0" w:line="24" w:lineRule="atLeast"/>
        <w:jc w:val="both"/>
        <w:rPr>
          <w:rFonts w:hint="default" w:ascii="Candara" w:hAnsi="Candara" w:cs="Candara"/>
        </w:rPr>
      </w:pPr>
    </w:p>
    <w:p w14:paraId="22936D67">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4.3 </w:t>
      </w:r>
      <w:r>
        <w:rPr>
          <w:rFonts w:hint="default" w:ascii="Candara" w:hAnsi="Candara" w:cs="Candara"/>
          <w:bCs/>
          <w:color w:val="auto"/>
          <w:sz w:val="24"/>
          <w:szCs w:val="24"/>
        </w:rPr>
        <w:tab/>
      </w:r>
      <w:r>
        <w:rPr>
          <w:rFonts w:hint="default" w:ascii="Candara" w:hAnsi="Candara" w:cs="Candara"/>
          <w:bCs/>
          <w:color w:val="auto"/>
          <w:sz w:val="24"/>
          <w:szCs w:val="24"/>
        </w:rPr>
        <w:t>Population of the Study</w:t>
      </w:r>
    </w:p>
    <w:p w14:paraId="0CD8C796">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The population of this systematic review consists of </w:t>
      </w:r>
      <w:r>
        <w:rPr>
          <w:rStyle w:val="22"/>
          <w:rFonts w:hint="default" w:ascii="Candara" w:hAnsi="Candara" w:cs="Candara" w:eastAsiaTheme="majorEastAsia"/>
          <w:b w:val="0"/>
          <w:bCs w:val="0"/>
        </w:rPr>
        <w:t>all peer-reviewed scholarly articles, conference papers, and review studies</w:t>
      </w:r>
      <w:r>
        <w:rPr>
          <w:rFonts w:hint="default" w:ascii="Candara" w:hAnsi="Candara" w:cs="Candara"/>
        </w:rPr>
        <w:t xml:space="preserve"> published between 2016 and 2025 that examine:</w:t>
      </w:r>
    </w:p>
    <w:p w14:paraId="736D7DB0">
      <w:pPr>
        <w:widowControl/>
        <w:numPr>
          <w:ilvl w:val="0"/>
          <w:numId w:val="4"/>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Greenwashing practices in corporate communication </w:t>
      </w:r>
    </w:p>
    <w:p w14:paraId="4A7BAB9E">
      <w:pPr>
        <w:widowControl/>
        <w:numPr>
          <w:ilvl w:val="0"/>
          <w:numId w:val="4"/>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Sustainability and CSR communication strategies </w:t>
      </w:r>
    </w:p>
    <w:p w14:paraId="0573AEC8">
      <w:pPr>
        <w:widowControl/>
        <w:numPr>
          <w:ilvl w:val="0"/>
          <w:numId w:val="4"/>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Audience perception of environmental messaging </w:t>
      </w:r>
    </w:p>
    <w:p w14:paraId="4204F517">
      <w:pPr>
        <w:widowControl/>
        <w:numPr>
          <w:ilvl w:val="0"/>
          <w:numId w:val="4"/>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Social media-based sustainability narratives </w:t>
      </w:r>
    </w:p>
    <w:p w14:paraId="533B434E">
      <w:pPr>
        <w:widowControl/>
        <w:numPr>
          <w:ilvl w:val="0"/>
          <w:numId w:val="4"/>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Influencer-driven environmental communication </w:t>
      </w:r>
    </w:p>
    <w:p w14:paraId="2391D9E9">
      <w:pPr>
        <w:pStyle w:val="21"/>
        <w:spacing w:before="0" w:beforeAutospacing="0" w:after="0" w:afterAutospacing="0" w:line="24" w:lineRule="atLeast"/>
        <w:jc w:val="both"/>
        <w:rPr>
          <w:rFonts w:hint="default" w:ascii="Candara" w:hAnsi="Candara" w:cs="Candara"/>
        </w:rPr>
      </w:pPr>
      <w:r>
        <w:rPr>
          <w:rFonts w:hint="default" w:ascii="Candara" w:hAnsi="Candara" w:cs="Candara"/>
        </w:rPr>
        <w:t>The theoretical population thus encompasses global academic discourse on sustainability communication within digital environments.</w:t>
      </w:r>
    </w:p>
    <w:p w14:paraId="2D617991">
      <w:pPr>
        <w:pStyle w:val="21"/>
        <w:spacing w:before="0" w:beforeAutospacing="0" w:after="0" w:afterAutospacing="0" w:line="24" w:lineRule="atLeast"/>
        <w:jc w:val="both"/>
        <w:rPr>
          <w:rFonts w:hint="default" w:ascii="Candara" w:hAnsi="Candara" w:cs="Candara"/>
        </w:rPr>
      </w:pPr>
    </w:p>
    <w:p w14:paraId="0F8172D1">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4.4 </w:t>
      </w:r>
      <w:r>
        <w:rPr>
          <w:rFonts w:hint="default" w:ascii="Candara" w:hAnsi="Candara" w:cs="Candara"/>
          <w:bCs/>
          <w:color w:val="auto"/>
          <w:sz w:val="24"/>
          <w:szCs w:val="24"/>
        </w:rPr>
        <w:tab/>
      </w:r>
      <w:r>
        <w:rPr>
          <w:rFonts w:hint="default" w:ascii="Candara" w:hAnsi="Candara" w:cs="Candara"/>
          <w:bCs/>
          <w:color w:val="auto"/>
          <w:sz w:val="24"/>
          <w:szCs w:val="24"/>
        </w:rPr>
        <w:t>Sample Size</w:t>
      </w:r>
    </w:p>
    <w:p w14:paraId="741E65CF">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A total of </w:t>
      </w:r>
      <w:r>
        <w:rPr>
          <w:rStyle w:val="22"/>
          <w:rFonts w:hint="default" w:ascii="Candara" w:hAnsi="Candara" w:cs="Candara" w:eastAsiaTheme="majorEastAsia"/>
          <w:b w:val="0"/>
          <w:bCs w:val="0"/>
        </w:rPr>
        <w:t>1,335 records</w:t>
      </w:r>
      <w:r>
        <w:rPr>
          <w:rFonts w:hint="default" w:ascii="Candara" w:hAnsi="Candara" w:cs="Candara"/>
        </w:rPr>
        <w:t xml:space="preserve"> were initially identified through database searching and manual reference tracing. After removing duplicates and applying screening procedures, </w:t>
      </w:r>
      <w:r>
        <w:rPr>
          <w:rStyle w:val="22"/>
          <w:rFonts w:hint="default" w:ascii="Candara" w:hAnsi="Candara" w:cs="Candara" w:eastAsiaTheme="majorEastAsia"/>
          <w:b w:val="0"/>
          <w:bCs w:val="0"/>
        </w:rPr>
        <w:t>90 studies</w:t>
      </w:r>
      <w:r>
        <w:rPr>
          <w:rFonts w:hint="default" w:ascii="Candara" w:hAnsi="Candara" w:cs="Candara"/>
        </w:rPr>
        <w:t xml:space="preserve"> were ultimately included in the final qualitative synthesis.</w:t>
      </w:r>
    </w:p>
    <w:p w14:paraId="4D34A4A5">
      <w:pPr>
        <w:pStyle w:val="21"/>
        <w:spacing w:before="0" w:beforeAutospacing="0" w:after="0" w:afterAutospacing="0" w:line="24" w:lineRule="atLeast"/>
        <w:jc w:val="both"/>
        <w:rPr>
          <w:rFonts w:hint="default" w:ascii="Candara" w:hAnsi="Candara" w:cs="Candara"/>
        </w:rPr>
      </w:pPr>
      <w:r>
        <w:rPr>
          <w:rFonts w:hint="default" w:ascii="Candara" w:hAnsi="Candara" w:cs="Candara"/>
        </w:rPr>
        <w:t>The final sample size is considered sufficient for thematic saturation, as it captures diverse geographical contexts, methodological approaches, and theoretical perspectives related to greenwashing and sustainability communication.</w:t>
      </w:r>
    </w:p>
    <w:p w14:paraId="779D1DE3">
      <w:pPr>
        <w:pStyle w:val="21"/>
        <w:spacing w:before="0" w:beforeAutospacing="0" w:after="0" w:afterAutospacing="0" w:line="24" w:lineRule="atLeast"/>
        <w:jc w:val="both"/>
        <w:rPr>
          <w:rFonts w:hint="default" w:ascii="Candara" w:hAnsi="Candara" w:cs="Candara"/>
        </w:rPr>
      </w:pPr>
    </w:p>
    <w:p w14:paraId="61908666">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4.5 </w:t>
      </w:r>
      <w:r>
        <w:rPr>
          <w:rFonts w:hint="default" w:ascii="Candara" w:hAnsi="Candara" w:cs="Candara"/>
          <w:bCs/>
          <w:color w:val="auto"/>
          <w:sz w:val="24"/>
          <w:szCs w:val="24"/>
        </w:rPr>
        <w:tab/>
      </w:r>
      <w:r>
        <w:rPr>
          <w:rFonts w:hint="default" w:ascii="Candara" w:hAnsi="Candara" w:cs="Candara"/>
          <w:bCs/>
          <w:color w:val="auto"/>
          <w:sz w:val="24"/>
          <w:szCs w:val="24"/>
        </w:rPr>
        <w:t>Sampling Technique</w:t>
      </w:r>
    </w:p>
    <w:p w14:paraId="0080D77E">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The study employed a </w:t>
      </w:r>
      <w:r>
        <w:rPr>
          <w:rStyle w:val="22"/>
          <w:rFonts w:hint="default" w:ascii="Candara" w:hAnsi="Candara" w:cs="Candara" w:eastAsiaTheme="majorEastAsia"/>
          <w:b w:val="0"/>
          <w:bCs w:val="0"/>
        </w:rPr>
        <w:t>purposive sampling technique within a systematic review framework</w:t>
      </w:r>
      <w:r>
        <w:rPr>
          <w:rFonts w:hint="default" w:ascii="Candara" w:hAnsi="Candara" w:cs="Candara"/>
        </w:rPr>
        <w:t>. Unlike probability sampling in empirical research, purposive sampling in SLRs involves deliberate selection of studies that meet predefined inclusion criteria relevant to the research objectives.</w:t>
      </w:r>
    </w:p>
    <w:p w14:paraId="69D7A77B">
      <w:pPr>
        <w:pStyle w:val="21"/>
        <w:spacing w:before="0" w:beforeAutospacing="0" w:after="0" w:afterAutospacing="0" w:line="24" w:lineRule="atLeast"/>
        <w:jc w:val="both"/>
        <w:rPr>
          <w:rFonts w:hint="default" w:ascii="Candara" w:hAnsi="Candara" w:cs="Candara"/>
        </w:rPr>
      </w:pPr>
      <w:r>
        <w:rPr>
          <w:rFonts w:hint="default" w:ascii="Candara" w:hAnsi="Candara" w:cs="Candara"/>
        </w:rPr>
        <w:t>The selection process followed PRISMA stages:</w:t>
      </w:r>
    </w:p>
    <w:p w14:paraId="1141080F">
      <w:pPr>
        <w:widowControl/>
        <w:numPr>
          <w:ilvl w:val="0"/>
          <w:numId w:val="5"/>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Identification:</w:t>
      </w:r>
      <w:r>
        <w:rPr>
          <w:rFonts w:hint="default" w:ascii="Candara" w:hAnsi="Candara" w:cs="Candara"/>
          <w:sz w:val="24"/>
          <w:szCs w:val="24"/>
        </w:rPr>
        <w:t xml:space="preserve"> Retrieval of studies from databases </w:t>
      </w:r>
    </w:p>
    <w:p w14:paraId="06DED562">
      <w:pPr>
        <w:widowControl/>
        <w:numPr>
          <w:ilvl w:val="0"/>
          <w:numId w:val="5"/>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Screening:</w:t>
      </w:r>
      <w:r>
        <w:rPr>
          <w:rFonts w:hint="default" w:ascii="Candara" w:hAnsi="Candara" w:cs="Candara"/>
          <w:sz w:val="24"/>
          <w:szCs w:val="24"/>
        </w:rPr>
        <w:t xml:space="preserve"> Removal of duplicates and irrelevant titles/abstracts </w:t>
      </w:r>
    </w:p>
    <w:p w14:paraId="2DACD157">
      <w:pPr>
        <w:widowControl/>
        <w:numPr>
          <w:ilvl w:val="0"/>
          <w:numId w:val="5"/>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Eligibility:</w:t>
      </w:r>
      <w:r>
        <w:rPr>
          <w:rFonts w:hint="default" w:ascii="Candara" w:hAnsi="Candara" w:cs="Candara"/>
          <w:sz w:val="24"/>
          <w:szCs w:val="24"/>
        </w:rPr>
        <w:t xml:space="preserve"> Full-text assessment against inclusion criteria </w:t>
      </w:r>
    </w:p>
    <w:p w14:paraId="59E7CE0C">
      <w:pPr>
        <w:widowControl/>
        <w:numPr>
          <w:ilvl w:val="0"/>
          <w:numId w:val="5"/>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Inclusion:</w:t>
      </w:r>
      <w:r>
        <w:rPr>
          <w:rFonts w:hint="default" w:ascii="Candara" w:hAnsi="Candara" w:cs="Candara"/>
          <w:sz w:val="24"/>
          <w:szCs w:val="24"/>
        </w:rPr>
        <w:t xml:space="preserve"> Final selection for qualitative synthesis </w:t>
      </w:r>
    </w:p>
    <w:p w14:paraId="2CD87B3A">
      <w:pPr>
        <w:pStyle w:val="21"/>
        <w:spacing w:before="0" w:beforeAutospacing="0" w:after="0" w:afterAutospacing="0" w:line="24" w:lineRule="atLeast"/>
        <w:jc w:val="both"/>
        <w:rPr>
          <w:rFonts w:hint="default" w:ascii="Candara" w:hAnsi="Candara" w:cs="Candara"/>
        </w:rPr>
      </w:pPr>
      <w:r>
        <w:rPr>
          <w:rFonts w:hint="default" w:ascii="Candara" w:hAnsi="Candara" w:cs="Candara"/>
        </w:rPr>
        <w:t>This technique ensured that only studies directly relevant to greenwashing, sustainability communication, and audience interpretation in social media contexts were included.</w:t>
      </w:r>
    </w:p>
    <w:p w14:paraId="07FC23E2">
      <w:pPr>
        <w:pStyle w:val="21"/>
        <w:spacing w:before="0" w:beforeAutospacing="0" w:after="0" w:afterAutospacing="0" w:line="24" w:lineRule="atLeast"/>
        <w:jc w:val="both"/>
        <w:rPr>
          <w:rFonts w:hint="default" w:ascii="Candara" w:hAnsi="Candara" w:cs="Candara"/>
        </w:rPr>
      </w:pPr>
    </w:p>
    <w:p w14:paraId="6EF95756">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4.6 </w:t>
      </w:r>
      <w:r>
        <w:rPr>
          <w:rFonts w:hint="default" w:ascii="Candara" w:hAnsi="Candara" w:cs="Candara"/>
          <w:bCs/>
          <w:color w:val="auto"/>
          <w:sz w:val="24"/>
          <w:szCs w:val="24"/>
        </w:rPr>
        <w:tab/>
      </w:r>
      <w:r>
        <w:rPr>
          <w:rFonts w:hint="default" w:ascii="Candara" w:hAnsi="Candara" w:cs="Candara"/>
          <w:bCs/>
          <w:color w:val="auto"/>
          <w:sz w:val="24"/>
          <w:szCs w:val="24"/>
        </w:rPr>
        <w:t>Inclusion Criteria</w:t>
      </w:r>
    </w:p>
    <w:p w14:paraId="6E986DF5">
      <w:pPr>
        <w:pStyle w:val="21"/>
        <w:spacing w:before="0" w:beforeAutospacing="0" w:after="0" w:afterAutospacing="0" w:line="24" w:lineRule="atLeast"/>
        <w:jc w:val="both"/>
        <w:rPr>
          <w:rFonts w:hint="default" w:ascii="Candara" w:hAnsi="Candara" w:cs="Candara"/>
        </w:rPr>
      </w:pPr>
      <w:r>
        <w:rPr>
          <w:rFonts w:hint="default" w:ascii="Candara" w:hAnsi="Candara" w:cs="Candara"/>
        </w:rPr>
        <w:t>Studies were included in the review if they met the following criteria:</w:t>
      </w:r>
    </w:p>
    <w:p w14:paraId="68BF499C">
      <w:pPr>
        <w:widowControl/>
        <w:numPr>
          <w:ilvl w:val="0"/>
          <w:numId w:val="6"/>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Published between </w:t>
      </w:r>
      <w:r>
        <w:rPr>
          <w:rStyle w:val="22"/>
          <w:rFonts w:hint="default" w:ascii="Candara" w:hAnsi="Candara" w:cs="Candara"/>
          <w:b w:val="0"/>
          <w:bCs w:val="0"/>
          <w:sz w:val="24"/>
          <w:szCs w:val="24"/>
        </w:rPr>
        <w:t>2016 and 2025</w:t>
      </w:r>
      <w:r>
        <w:rPr>
          <w:rFonts w:hint="default" w:ascii="Candara" w:hAnsi="Candara" w:cs="Candara"/>
          <w:sz w:val="24"/>
          <w:szCs w:val="24"/>
        </w:rPr>
        <w:t xml:space="preserve"> </w:t>
      </w:r>
    </w:p>
    <w:p w14:paraId="0D77DE62">
      <w:pPr>
        <w:widowControl/>
        <w:numPr>
          <w:ilvl w:val="0"/>
          <w:numId w:val="6"/>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Peer-reviewed journal articles or conference papers </w:t>
      </w:r>
    </w:p>
    <w:p w14:paraId="4A9B20FB">
      <w:pPr>
        <w:widowControl/>
        <w:numPr>
          <w:ilvl w:val="0"/>
          <w:numId w:val="6"/>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Written in the </w:t>
      </w:r>
      <w:r>
        <w:rPr>
          <w:rStyle w:val="22"/>
          <w:rFonts w:hint="default" w:ascii="Candara" w:hAnsi="Candara" w:cs="Candara"/>
          <w:b w:val="0"/>
          <w:bCs w:val="0"/>
          <w:sz w:val="24"/>
          <w:szCs w:val="24"/>
        </w:rPr>
        <w:t>English language</w:t>
      </w:r>
      <w:r>
        <w:rPr>
          <w:rFonts w:hint="default" w:ascii="Candara" w:hAnsi="Candara" w:cs="Candara"/>
          <w:sz w:val="24"/>
          <w:szCs w:val="24"/>
        </w:rPr>
        <w:t xml:space="preserve"> </w:t>
      </w:r>
    </w:p>
    <w:p w14:paraId="3C4D0CAF">
      <w:pPr>
        <w:widowControl/>
        <w:numPr>
          <w:ilvl w:val="0"/>
          <w:numId w:val="6"/>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Focused on </w:t>
      </w:r>
      <w:r>
        <w:rPr>
          <w:rStyle w:val="22"/>
          <w:rFonts w:hint="default" w:ascii="Candara" w:hAnsi="Candara" w:cs="Candara"/>
          <w:b w:val="0"/>
          <w:bCs w:val="0"/>
          <w:sz w:val="24"/>
          <w:szCs w:val="24"/>
        </w:rPr>
        <w:t>greenwashing, CSR communication, or sustainability messaging</w:t>
      </w:r>
      <w:r>
        <w:rPr>
          <w:rFonts w:hint="default" w:ascii="Candara" w:hAnsi="Candara" w:cs="Candara"/>
          <w:sz w:val="24"/>
          <w:szCs w:val="24"/>
        </w:rPr>
        <w:t xml:space="preserve"> </w:t>
      </w:r>
    </w:p>
    <w:p w14:paraId="72EC64B2">
      <w:pPr>
        <w:widowControl/>
        <w:numPr>
          <w:ilvl w:val="0"/>
          <w:numId w:val="6"/>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Addressed </w:t>
      </w:r>
      <w:r>
        <w:rPr>
          <w:rStyle w:val="22"/>
          <w:rFonts w:hint="default" w:ascii="Candara" w:hAnsi="Candara" w:cs="Candara"/>
          <w:b w:val="0"/>
          <w:bCs w:val="0"/>
          <w:sz w:val="24"/>
          <w:szCs w:val="24"/>
        </w:rPr>
        <w:t>social media, digital platforms, or influencer communication</w:t>
      </w:r>
      <w:r>
        <w:rPr>
          <w:rFonts w:hint="default" w:ascii="Candara" w:hAnsi="Candara" w:cs="Candara"/>
          <w:sz w:val="24"/>
          <w:szCs w:val="24"/>
        </w:rPr>
        <w:t xml:space="preserve"> </w:t>
      </w:r>
    </w:p>
    <w:p w14:paraId="71DFF9AC">
      <w:pPr>
        <w:widowControl/>
        <w:numPr>
          <w:ilvl w:val="0"/>
          <w:numId w:val="6"/>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Included </w:t>
      </w:r>
      <w:r>
        <w:rPr>
          <w:rStyle w:val="22"/>
          <w:rFonts w:hint="default" w:ascii="Candara" w:hAnsi="Candara" w:cs="Candara"/>
          <w:b w:val="0"/>
          <w:bCs w:val="0"/>
          <w:sz w:val="24"/>
          <w:szCs w:val="24"/>
        </w:rPr>
        <w:t>audience perception, consumer behavior, or message interpretation</w:t>
      </w:r>
      <w:r>
        <w:rPr>
          <w:rFonts w:hint="default" w:ascii="Candara" w:hAnsi="Candara" w:cs="Candara"/>
          <w:sz w:val="24"/>
          <w:szCs w:val="24"/>
        </w:rPr>
        <w:t xml:space="preserve"> </w:t>
      </w:r>
    </w:p>
    <w:p w14:paraId="387A22D0">
      <w:pPr>
        <w:pStyle w:val="21"/>
        <w:spacing w:before="0" w:beforeAutospacing="0" w:after="0" w:afterAutospacing="0" w:line="24" w:lineRule="atLeast"/>
        <w:jc w:val="both"/>
        <w:rPr>
          <w:rFonts w:hint="default" w:ascii="Candara" w:hAnsi="Candara" w:cs="Candara"/>
        </w:rPr>
      </w:pPr>
      <w:r>
        <w:rPr>
          <w:rFonts w:hint="default" w:ascii="Candara" w:hAnsi="Candara" w:cs="Candara"/>
        </w:rPr>
        <w:t>Additionally, both qualitative and quantitative studies were included to ensure methodological diversity and comprehensive thematic coverage.</w:t>
      </w:r>
    </w:p>
    <w:p w14:paraId="40964B9F">
      <w:pPr>
        <w:pStyle w:val="21"/>
        <w:spacing w:before="0" w:beforeAutospacing="0" w:after="0" w:afterAutospacing="0" w:line="24" w:lineRule="atLeast"/>
        <w:jc w:val="both"/>
        <w:rPr>
          <w:rFonts w:hint="default" w:ascii="Candara" w:hAnsi="Candara" w:cs="Candara"/>
        </w:rPr>
      </w:pPr>
    </w:p>
    <w:p w14:paraId="60DFE63B">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4.7 </w:t>
      </w:r>
      <w:r>
        <w:rPr>
          <w:rFonts w:hint="default" w:ascii="Candara" w:hAnsi="Candara" w:cs="Candara"/>
          <w:bCs/>
          <w:color w:val="auto"/>
          <w:sz w:val="24"/>
          <w:szCs w:val="24"/>
        </w:rPr>
        <w:tab/>
      </w:r>
      <w:r>
        <w:rPr>
          <w:rFonts w:hint="default" w:ascii="Candara" w:hAnsi="Candara" w:cs="Candara"/>
          <w:bCs/>
          <w:color w:val="auto"/>
          <w:sz w:val="24"/>
          <w:szCs w:val="24"/>
        </w:rPr>
        <w:t>Exclusion Criteria</w:t>
      </w:r>
    </w:p>
    <w:p w14:paraId="08904C9D">
      <w:pPr>
        <w:pStyle w:val="21"/>
        <w:spacing w:before="0" w:beforeAutospacing="0" w:after="0" w:afterAutospacing="0" w:line="24" w:lineRule="atLeast"/>
        <w:jc w:val="both"/>
        <w:rPr>
          <w:rFonts w:hint="default" w:ascii="Candara" w:hAnsi="Candara" w:cs="Candara"/>
        </w:rPr>
      </w:pPr>
      <w:r>
        <w:rPr>
          <w:rFonts w:hint="default" w:ascii="Candara" w:hAnsi="Candara" w:cs="Candara"/>
        </w:rPr>
        <w:t>The following studies were excluded from the review:</w:t>
      </w:r>
    </w:p>
    <w:p w14:paraId="22D7DB15">
      <w:pPr>
        <w:widowControl/>
        <w:numPr>
          <w:ilvl w:val="0"/>
          <w:numId w:val="7"/>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Non-peer-reviewed sources (blogs, opinion articles, editorials) </w:t>
      </w:r>
    </w:p>
    <w:p w14:paraId="4DFC895F">
      <w:pPr>
        <w:widowControl/>
        <w:numPr>
          <w:ilvl w:val="0"/>
          <w:numId w:val="7"/>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Studies published before 2016 </w:t>
      </w:r>
    </w:p>
    <w:p w14:paraId="6C2EEC0F">
      <w:pPr>
        <w:widowControl/>
        <w:numPr>
          <w:ilvl w:val="0"/>
          <w:numId w:val="7"/>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Non-English publications </w:t>
      </w:r>
    </w:p>
    <w:p w14:paraId="5F22E087">
      <w:pPr>
        <w:widowControl/>
        <w:numPr>
          <w:ilvl w:val="0"/>
          <w:numId w:val="7"/>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Research unrelated to digital or social media communication </w:t>
      </w:r>
    </w:p>
    <w:p w14:paraId="580C763B">
      <w:pPr>
        <w:widowControl/>
        <w:numPr>
          <w:ilvl w:val="0"/>
          <w:numId w:val="7"/>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Articles focusing solely on environmental science without communication relevance </w:t>
      </w:r>
    </w:p>
    <w:p w14:paraId="71209171">
      <w:pPr>
        <w:widowControl/>
        <w:numPr>
          <w:ilvl w:val="0"/>
          <w:numId w:val="7"/>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Duplicate records across multiple databases </w:t>
      </w:r>
    </w:p>
    <w:p w14:paraId="09789E5B">
      <w:pPr>
        <w:widowControl/>
        <w:numPr>
          <w:ilvl w:val="0"/>
          <w:numId w:val="7"/>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Studies lacking empirical or theoretical contribution to greenwashing or sustainability communication </w:t>
      </w:r>
    </w:p>
    <w:p w14:paraId="735FB7BC">
      <w:pPr>
        <w:pStyle w:val="21"/>
        <w:spacing w:before="0" w:beforeAutospacing="0" w:after="0" w:afterAutospacing="0" w:line="24" w:lineRule="atLeast"/>
        <w:jc w:val="both"/>
        <w:rPr>
          <w:rFonts w:hint="default" w:ascii="Candara" w:hAnsi="Candara" w:cs="Candara"/>
        </w:rPr>
      </w:pPr>
      <w:r>
        <w:rPr>
          <w:rFonts w:hint="default" w:ascii="Candara" w:hAnsi="Candara" w:cs="Candara"/>
        </w:rPr>
        <w:t>These exclusion criteria ensured conceptual alignment and maintained academic rigor in the synthesis process.</w:t>
      </w:r>
    </w:p>
    <w:p w14:paraId="3A18ADB8">
      <w:pPr>
        <w:pStyle w:val="21"/>
        <w:spacing w:before="0" w:beforeAutospacing="0" w:after="0" w:afterAutospacing="0" w:line="24" w:lineRule="atLeast"/>
        <w:jc w:val="both"/>
        <w:rPr>
          <w:rFonts w:hint="default" w:ascii="Candara" w:hAnsi="Candara" w:cs="Candara"/>
        </w:rPr>
      </w:pPr>
    </w:p>
    <w:p w14:paraId="5FCD4096">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4.8 </w:t>
      </w:r>
      <w:r>
        <w:rPr>
          <w:rFonts w:hint="default" w:ascii="Candara" w:hAnsi="Candara" w:cs="Candara"/>
          <w:bCs/>
          <w:color w:val="auto"/>
          <w:sz w:val="24"/>
          <w:szCs w:val="24"/>
        </w:rPr>
        <w:tab/>
      </w:r>
      <w:r>
        <w:rPr>
          <w:rFonts w:hint="default" w:ascii="Candara" w:hAnsi="Candara" w:cs="Candara"/>
          <w:bCs/>
          <w:color w:val="auto"/>
          <w:sz w:val="24"/>
          <w:szCs w:val="24"/>
        </w:rPr>
        <w:t>Screening Procedure (PRISMA Flow-Based Process)</w:t>
      </w:r>
    </w:p>
    <w:p w14:paraId="6033A50A">
      <w:pPr>
        <w:pStyle w:val="21"/>
        <w:spacing w:before="0" w:beforeAutospacing="0" w:after="0" w:afterAutospacing="0" w:line="24" w:lineRule="atLeast"/>
        <w:jc w:val="both"/>
        <w:rPr>
          <w:rFonts w:hint="default" w:ascii="Candara" w:hAnsi="Candara" w:cs="Candara"/>
        </w:rPr>
      </w:pPr>
      <w:r>
        <w:rPr>
          <w:rFonts w:hint="default" w:ascii="Candara" w:hAnsi="Candara" w:cs="Candara"/>
        </w:rPr>
        <w:t>The screening process followed a structured PRISMA protocol:</w:t>
      </w:r>
    </w:p>
    <w:p w14:paraId="384F55B6">
      <w:pPr>
        <w:widowControl/>
        <w:numPr>
          <w:ilvl w:val="0"/>
          <w:numId w:val="8"/>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Identification phase:</w:t>
      </w:r>
      <w:r>
        <w:rPr>
          <w:rFonts w:hint="default" w:ascii="Candara" w:hAnsi="Candara" w:cs="Candara"/>
          <w:sz w:val="24"/>
          <w:szCs w:val="24"/>
        </w:rPr>
        <w:t xml:space="preserve"> 1,335 records retrieved </w:t>
      </w:r>
    </w:p>
    <w:p w14:paraId="5698023B">
      <w:pPr>
        <w:widowControl/>
        <w:numPr>
          <w:ilvl w:val="0"/>
          <w:numId w:val="8"/>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Deduplication:</w:t>
      </w:r>
      <w:r>
        <w:rPr>
          <w:rFonts w:hint="default" w:ascii="Candara" w:hAnsi="Candara" w:cs="Candara"/>
          <w:sz w:val="24"/>
          <w:szCs w:val="24"/>
        </w:rPr>
        <w:t xml:space="preserve"> 210 duplicate records removed </w:t>
      </w:r>
    </w:p>
    <w:p w14:paraId="209A667B">
      <w:pPr>
        <w:widowControl/>
        <w:numPr>
          <w:ilvl w:val="0"/>
          <w:numId w:val="8"/>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Screening phase:</w:t>
      </w:r>
      <w:r>
        <w:rPr>
          <w:rFonts w:hint="default" w:ascii="Candara" w:hAnsi="Candara" w:cs="Candara"/>
          <w:sz w:val="24"/>
          <w:szCs w:val="24"/>
        </w:rPr>
        <w:t xml:space="preserve"> 1,125 titles and abstracts reviewed </w:t>
      </w:r>
    </w:p>
    <w:p w14:paraId="5E5A3660">
      <w:pPr>
        <w:widowControl/>
        <w:numPr>
          <w:ilvl w:val="0"/>
          <w:numId w:val="8"/>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Exclusion at screening:</w:t>
      </w:r>
      <w:r>
        <w:rPr>
          <w:rFonts w:hint="default" w:ascii="Candara" w:hAnsi="Candara" w:cs="Candara"/>
          <w:sz w:val="24"/>
          <w:szCs w:val="24"/>
        </w:rPr>
        <w:t xml:space="preserve"> 820 records excluded for irrelevance </w:t>
      </w:r>
    </w:p>
    <w:p w14:paraId="45E4FBD5">
      <w:pPr>
        <w:widowControl/>
        <w:numPr>
          <w:ilvl w:val="0"/>
          <w:numId w:val="8"/>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Eligibility phase:</w:t>
      </w:r>
      <w:r>
        <w:rPr>
          <w:rFonts w:hint="default" w:ascii="Candara" w:hAnsi="Candara" w:cs="Candara"/>
          <w:sz w:val="24"/>
          <w:szCs w:val="24"/>
        </w:rPr>
        <w:t xml:space="preserve"> 305 full-text articles assessed </w:t>
      </w:r>
    </w:p>
    <w:p w14:paraId="7C9DF6FD">
      <w:pPr>
        <w:widowControl/>
        <w:numPr>
          <w:ilvl w:val="0"/>
          <w:numId w:val="8"/>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Exclusion at eligibility:</w:t>
      </w:r>
      <w:r>
        <w:rPr>
          <w:rFonts w:hint="default" w:ascii="Candara" w:hAnsi="Candara" w:cs="Candara"/>
          <w:sz w:val="24"/>
          <w:szCs w:val="24"/>
        </w:rPr>
        <w:t xml:space="preserve"> 215 articles excluded due to mismatch with inclusion criteria </w:t>
      </w:r>
    </w:p>
    <w:p w14:paraId="5319353B">
      <w:pPr>
        <w:widowControl/>
        <w:numPr>
          <w:ilvl w:val="0"/>
          <w:numId w:val="8"/>
        </w:numPr>
        <w:spacing w:line="24" w:lineRule="atLeast"/>
        <w:ind w:left="0" w:firstLine="0"/>
        <w:jc w:val="both"/>
        <w:rPr>
          <w:rFonts w:hint="default" w:ascii="Candara" w:hAnsi="Candara" w:cs="Candara"/>
          <w:sz w:val="24"/>
          <w:szCs w:val="24"/>
        </w:rPr>
      </w:pPr>
      <w:r>
        <w:rPr>
          <w:rStyle w:val="22"/>
          <w:rFonts w:hint="default" w:ascii="Candara" w:hAnsi="Candara" w:cs="Candara"/>
          <w:b w:val="0"/>
          <w:bCs w:val="0"/>
          <w:sz w:val="24"/>
          <w:szCs w:val="24"/>
        </w:rPr>
        <w:t>Final inclusion:</w:t>
      </w:r>
      <w:r>
        <w:rPr>
          <w:rFonts w:hint="default" w:ascii="Candara" w:hAnsi="Candara" w:cs="Candara"/>
          <w:sz w:val="24"/>
          <w:szCs w:val="24"/>
        </w:rPr>
        <w:t xml:space="preserve"> 90 studies selected for systematic synthesis </w:t>
      </w:r>
    </w:p>
    <w:p w14:paraId="091BF2E0">
      <w:pPr>
        <w:pStyle w:val="21"/>
        <w:spacing w:before="0" w:beforeAutospacing="0" w:after="0" w:afterAutospacing="0" w:line="24" w:lineRule="atLeast"/>
        <w:ind w:left="-360"/>
        <w:jc w:val="both"/>
        <w:rPr>
          <w:rFonts w:hint="default" w:ascii="Candara" w:hAnsi="Candara" w:cs="Candara"/>
        </w:rPr>
      </w:pPr>
      <w:r>
        <w:rPr>
          <w:rFonts w:hint="default" w:ascii="Candara" w:hAnsi="Candara" w:cs="Candara"/>
        </w:rPr>
        <w:br w:type="textWrapping"/>
      </w:r>
      <w:r>
        <w:rPr>
          <w:rFonts w:hint="default" w:ascii="Candara" w:hAnsi="Candara" w:cs="Candara"/>
        </w:rPr>
        <w:drawing>
          <wp:inline distT="0" distB="0" distL="0" distR="0">
            <wp:extent cx="6430010" cy="40576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t="56980" b="6042"/>
                    <a:stretch>
                      <a:fillRect/>
                    </a:stretch>
                  </pic:blipFill>
                  <pic:spPr>
                    <a:xfrm>
                      <a:off x="0" y="0"/>
                      <a:ext cx="6430300" cy="4057833"/>
                    </a:xfrm>
                    <a:prstGeom prst="rect">
                      <a:avLst/>
                    </a:prstGeom>
                    <a:noFill/>
                    <a:ln>
                      <a:noFill/>
                    </a:ln>
                  </pic:spPr>
                </pic:pic>
              </a:graphicData>
            </a:graphic>
          </wp:inline>
        </w:drawing>
      </w:r>
      <w:r>
        <w:rPr>
          <w:rFonts w:hint="default" w:ascii="Candara" w:hAnsi="Candara" w:cs="Candara"/>
        </w:rPr>
        <w:t>This stepwise process ensured transparency and minimized selection bias.</w:t>
      </w:r>
    </w:p>
    <w:p w14:paraId="10413812">
      <w:pPr>
        <w:pStyle w:val="21"/>
        <w:spacing w:before="0" w:beforeAutospacing="0" w:after="0" w:afterAutospacing="0" w:line="24" w:lineRule="atLeast"/>
        <w:jc w:val="both"/>
        <w:rPr>
          <w:rFonts w:hint="default" w:ascii="Candara" w:hAnsi="Candara" w:cs="Candara"/>
        </w:rPr>
      </w:pPr>
    </w:p>
    <w:p w14:paraId="3110C2F6">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4.9 </w:t>
      </w:r>
      <w:r>
        <w:rPr>
          <w:rFonts w:hint="default" w:ascii="Candara" w:hAnsi="Candara" w:cs="Candara"/>
          <w:bCs/>
          <w:color w:val="auto"/>
          <w:sz w:val="24"/>
          <w:szCs w:val="24"/>
        </w:rPr>
        <w:tab/>
      </w:r>
      <w:r>
        <w:rPr>
          <w:rFonts w:hint="default" w:ascii="Candara" w:hAnsi="Candara" w:cs="Candara"/>
          <w:bCs/>
          <w:color w:val="auto"/>
          <w:sz w:val="24"/>
          <w:szCs w:val="24"/>
        </w:rPr>
        <w:t>Data Extraction Procedure</w:t>
      </w:r>
    </w:p>
    <w:p w14:paraId="6B142896">
      <w:pPr>
        <w:pStyle w:val="21"/>
        <w:spacing w:before="0" w:beforeAutospacing="0" w:after="0" w:afterAutospacing="0" w:line="24" w:lineRule="atLeast"/>
        <w:jc w:val="both"/>
        <w:rPr>
          <w:rFonts w:hint="default" w:ascii="Candara" w:hAnsi="Candara" w:cs="Candara"/>
        </w:rPr>
      </w:pPr>
      <w:r>
        <w:rPr>
          <w:rFonts w:hint="default" w:ascii="Candara" w:hAnsi="Candara" w:cs="Candara"/>
        </w:rPr>
        <w:t>A structured data extraction form was developed to systematically collect relevant information from each included study. The extracted variables included:</w:t>
      </w:r>
    </w:p>
    <w:p w14:paraId="7F65FECB">
      <w:pPr>
        <w:widowControl/>
        <w:numPr>
          <w:ilvl w:val="0"/>
          <w:numId w:val="9"/>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Author(s) and year of publication </w:t>
      </w:r>
    </w:p>
    <w:p w14:paraId="06ECBF24">
      <w:pPr>
        <w:widowControl/>
        <w:numPr>
          <w:ilvl w:val="0"/>
          <w:numId w:val="9"/>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Country/context of study </w:t>
      </w:r>
    </w:p>
    <w:p w14:paraId="436D7243">
      <w:pPr>
        <w:widowControl/>
        <w:numPr>
          <w:ilvl w:val="0"/>
          <w:numId w:val="9"/>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Research methodology (qualitative, quantitative, mixed-method) </w:t>
      </w:r>
    </w:p>
    <w:p w14:paraId="58C5584B">
      <w:pPr>
        <w:widowControl/>
        <w:numPr>
          <w:ilvl w:val="0"/>
          <w:numId w:val="9"/>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Theoretical framework used </w:t>
      </w:r>
    </w:p>
    <w:p w14:paraId="25D91AED">
      <w:pPr>
        <w:widowControl/>
        <w:numPr>
          <w:ilvl w:val="0"/>
          <w:numId w:val="9"/>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Key findings related to greenwashing or sustainability communication </w:t>
      </w:r>
    </w:p>
    <w:p w14:paraId="14EABC3C">
      <w:pPr>
        <w:widowControl/>
        <w:numPr>
          <w:ilvl w:val="0"/>
          <w:numId w:val="9"/>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Audience perception mechanisms </w:t>
      </w:r>
    </w:p>
    <w:p w14:paraId="0C43FDE0">
      <w:pPr>
        <w:widowControl/>
        <w:numPr>
          <w:ilvl w:val="0"/>
          <w:numId w:val="9"/>
        </w:numPr>
        <w:spacing w:line="24" w:lineRule="atLeast"/>
        <w:ind w:left="0" w:firstLine="0"/>
        <w:jc w:val="both"/>
        <w:rPr>
          <w:rFonts w:hint="default" w:ascii="Candara" w:hAnsi="Candara" w:cs="Candara"/>
          <w:sz w:val="24"/>
          <w:szCs w:val="24"/>
        </w:rPr>
      </w:pPr>
      <w:r>
        <w:rPr>
          <w:rFonts w:hint="default" w:ascii="Candara" w:hAnsi="Candara" w:cs="Candara"/>
          <w:sz w:val="24"/>
          <w:szCs w:val="24"/>
        </w:rPr>
        <w:t xml:space="preserve">Relevance to social media or digital platforms </w:t>
      </w:r>
    </w:p>
    <w:p w14:paraId="276F3712">
      <w:pPr>
        <w:pStyle w:val="21"/>
        <w:spacing w:before="0" w:beforeAutospacing="0" w:after="0" w:afterAutospacing="0" w:line="24" w:lineRule="atLeast"/>
        <w:jc w:val="both"/>
        <w:rPr>
          <w:rFonts w:hint="default" w:ascii="Candara" w:hAnsi="Candara" w:cs="Candara"/>
        </w:rPr>
      </w:pPr>
      <w:r>
        <w:rPr>
          <w:rFonts w:hint="default" w:ascii="Candara" w:hAnsi="Candara" w:cs="Candara"/>
        </w:rPr>
        <w:t>Data extraction was conducted manually to ensure interpretive accuracy and thematic consistency.</w:t>
      </w:r>
    </w:p>
    <w:p w14:paraId="70A065F5">
      <w:pPr>
        <w:pStyle w:val="21"/>
        <w:spacing w:before="0" w:beforeAutospacing="0" w:after="0" w:afterAutospacing="0" w:line="24" w:lineRule="atLeast"/>
        <w:jc w:val="both"/>
        <w:rPr>
          <w:rFonts w:hint="default" w:ascii="Candara" w:hAnsi="Candara" w:cs="Candara"/>
        </w:rPr>
      </w:pPr>
    </w:p>
    <w:p w14:paraId="54745F97">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4.10 </w:t>
      </w:r>
      <w:r>
        <w:rPr>
          <w:rFonts w:hint="default" w:ascii="Candara" w:hAnsi="Candara" w:cs="Candara"/>
          <w:bCs/>
          <w:color w:val="auto"/>
          <w:sz w:val="24"/>
          <w:szCs w:val="24"/>
        </w:rPr>
        <w:tab/>
      </w:r>
      <w:r>
        <w:rPr>
          <w:rFonts w:hint="default" w:ascii="Candara" w:hAnsi="Candara" w:cs="Candara"/>
          <w:bCs/>
          <w:color w:val="auto"/>
          <w:sz w:val="24"/>
          <w:szCs w:val="24"/>
        </w:rPr>
        <w:t>Data Analysis Method</w:t>
      </w:r>
    </w:p>
    <w:p w14:paraId="0F83F9CD">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The study employed a </w:t>
      </w:r>
      <w:r>
        <w:rPr>
          <w:rStyle w:val="22"/>
          <w:rFonts w:hint="default" w:ascii="Candara" w:hAnsi="Candara" w:cs="Candara" w:eastAsiaTheme="majorEastAsia"/>
          <w:b w:val="0"/>
          <w:bCs w:val="0"/>
        </w:rPr>
        <w:t>thematic synthesis approach</w:t>
      </w:r>
      <w:r>
        <w:rPr>
          <w:rFonts w:hint="default" w:ascii="Candara" w:hAnsi="Candara" w:cs="Candara"/>
        </w:rPr>
        <w:t xml:space="preserve"> for data analysis. This method is widely used in systematic reviews within social sciences to identify, analyse, and interpret recurring patterns across heterogeneous studies.</w:t>
      </w:r>
    </w:p>
    <w:p w14:paraId="5512EE0F">
      <w:pPr>
        <w:pStyle w:val="21"/>
        <w:spacing w:before="0" w:beforeAutospacing="0" w:after="0" w:afterAutospacing="0" w:line="24" w:lineRule="atLeast"/>
        <w:jc w:val="both"/>
        <w:rPr>
          <w:rFonts w:hint="default" w:ascii="Candara" w:hAnsi="Candara" w:cs="Candara"/>
        </w:rPr>
      </w:pPr>
      <w:r>
        <w:rPr>
          <w:rFonts w:hint="default" w:ascii="Candara" w:hAnsi="Candara" w:cs="Candara"/>
        </w:rPr>
        <w:t>The analysis followed three stages:</w:t>
      </w:r>
    </w:p>
    <w:p w14:paraId="5243A55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0829F589">
      <w:pPr>
        <w:pStyle w:val="4"/>
        <w:spacing w:before="0" w:line="24" w:lineRule="atLeast"/>
        <w:jc w:val="both"/>
        <w:rPr>
          <w:rFonts w:hint="default" w:ascii="Candara" w:hAnsi="Candara" w:cs="Candara"/>
          <w:i/>
          <w:iCs/>
          <w:color w:val="000000" w:themeColor="text1"/>
          <w:sz w:val="24"/>
          <w:szCs w:val="24"/>
          <w14:textFill>
            <w14:solidFill>
              <w14:schemeClr w14:val="tx1"/>
            </w14:solidFill>
          </w14:textFill>
        </w:rPr>
      </w:pPr>
      <w:r>
        <w:rPr>
          <w:rFonts w:hint="default" w:ascii="Candara" w:hAnsi="Candara" w:cs="Candara"/>
          <w:i/>
          <w:iCs/>
          <w:color w:val="000000" w:themeColor="text1"/>
          <w:sz w:val="24"/>
          <w:szCs w:val="24"/>
          <w14:textFill>
            <w14:solidFill>
              <w14:schemeClr w14:val="tx1"/>
            </w14:solidFill>
          </w14:textFill>
        </w:rPr>
        <w:t>4.10.1. Line-by-Line Coding</w:t>
      </w:r>
    </w:p>
    <w:p w14:paraId="4CBD4BD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Each study was read in detail, and relevant statements were coded based on recurring concepts such as greenwashing strategies, influencer credibility, audience skepticism, and sustainability framing.</w:t>
      </w:r>
    </w:p>
    <w:p w14:paraId="1512F3A9">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31A669A">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4.10.2. Development of Descriptive Themes</w:t>
      </w:r>
    </w:p>
    <w:p w14:paraId="76DECB0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Codes were grouped into broader categories reflecting conceptual similarities, including:</w:t>
      </w:r>
    </w:p>
    <w:p w14:paraId="5C1ED3E2">
      <w:pPr>
        <w:widowControl/>
        <w:numPr>
          <w:ilvl w:val="0"/>
          <w:numId w:val="10"/>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Visual sustainability framing </w:t>
      </w:r>
    </w:p>
    <w:p w14:paraId="25B35BF2">
      <w:pPr>
        <w:widowControl/>
        <w:numPr>
          <w:ilvl w:val="0"/>
          <w:numId w:val="10"/>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Influencer-mediated authenticity </w:t>
      </w:r>
    </w:p>
    <w:p w14:paraId="6CDB1A65">
      <w:pPr>
        <w:widowControl/>
        <w:numPr>
          <w:ilvl w:val="0"/>
          <w:numId w:val="10"/>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Algorithmic amplification of content </w:t>
      </w:r>
    </w:p>
    <w:p w14:paraId="2C907979">
      <w:pPr>
        <w:widowControl/>
        <w:numPr>
          <w:ilvl w:val="0"/>
          <w:numId w:val="10"/>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Audience skepticism and trust formation </w:t>
      </w:r>
    </w:p>
    <w:p w14:paraId="3D90D646">
      <w:pPr>
        <w:widowControl/>
        <w:numPr>
          <w:ilvl w:val="0"/>
          <w:numId w:val="10"/>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Social norms and engagement effects </w:t>
      </w:r>
    </w:p>
    <w:p w14:paraId="7879018F">
      <w:pPr>
        <w:spacing w:line="24" w:lineRule="atLeast"/>
        <w:jc w:val="both"/>
        <w:rPr>
          <w:rFonts w:hint="default" w:ascii="Candara" w:hAnsi="Candara" w:cs="Candara"/>
          <w:color w:val="000000" w:themeColor="text1"/>
          <w:sz w:val="24"/>
          <w:szCs w:val="24"/>
          <w14:textFill>
            <w14:solidFill>
              <w14:schemeClr w14:val="tx1"/>
            </w14:solidFill>
          </w14:textFill>
        </w:rPr>
      </w:pPr>
    </w:p>
    <w:p w14:paraId="553DCBC0">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4.10.3. Analytical Theme Construction</w:t>
      </w:r>
    </w:p>
    <w:p w14:paraId="3EBE67E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Descriptive themes were further synthesized into higher-order analytical themes that explain relationships between constructs, particularly focusing on how audiences detect or fail to detect greenwashing in social media environments.</w:t>
      </w:r>
    </w:p>
    <w:p w14:paraId="29A4087E">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4E696E1">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4.11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Quality Appraisal</w:t>
      </w:r>
    </w:p>
    <w:p w14:paraId="6D36E5B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To ensure methodological rigor and credibility, all included studies were evaluated based on:</w:t>
      </w:r>
    </w:p>
    <w:p w14:paraId="6E169ABA">
      <w:pPr>
        <w:widowControl/>
        <w:numPr>
          <w:ilvl w:val="0"/>
          <w:numId w:val="11"/>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Publication in indexed journals (Scopus/Web of Science preference) </w:t>
      </w:r>
    </w:p>
    <w:p w14:paraId="743AD345">
      <w:pPr>
        <w:widowControl/>
        <w:numPr>
          <w:ilvl w:val="0"/>
          <w:numId w:val="11"/>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Clarity of research design and methodology </w:t>
      </w:r>
    </w:p>
    <w:p w14:paraId="0FC7E818">
      <w:pPr>
        <w:widowControl/>
        <w:numPr>
          <w:ilvl w:val="0"/>
          <w:numId w:val="11"/>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Validity and reliability of findings </w:t>
      </w:r>
    </w:p>
    <w:p w14:paraId="031F9519">
      <w:pPr>
        <w:widowControl/>
        <w:numPr>
          <w:ilvl w:val="0"/>
          <w:numId w:val="11"/>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Theoretical and empirical contribution to sustainability communication </w:t>
      </w:r>
    </w:p>
    <w:p w14:paraId="6DA79248">
      <w:pPr>
        <w:widowControl/>
        <w:numPr>
          <w:ilvl w:val="0"/>
          <w:numId w:val="11"/>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Relevance to social media-based greenwashing discourse </w:t>
      </w:r>
    </w:p>
    <w:p w14:paraId="50A3C8D2">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Studies with weak methodological transparency or limited relevance were excluded during eligibility screening.</w:t>
      </w:r>
    </w:p>
    <w:p w14:paraId="365C0A0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03F8FA3F">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4.12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Ethical Considerations</w:t>
      </w:r>
    </w:p>
    <w:p w14:paraId="01A4FE9C">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As this research is based on secondary data (published academic literature), no human participants were involved. Therefore, ethical approval was not required. However, all included studies were appropriately cited to maintain academic integrity and avoid plagiarism.</w:t>
      </w:r>
    </w:p>
    <w:p w14:paraId="31C8513B">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6CE124DD">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 xml:space="preserve">5. </w:t>
      </w:r>
      <w:r>
        <w:rPr>
          <w:rFonts w:hint="default" w:ascii="Candara" w:hAnsi="Candara" w:cs="Candara"/>
          <w:b/>
          <w:bCs/>
          <w:color w:val="000000" w:themeColor="text1"/>
          <w:lang w:val="en-US"/>
          <w14:textFill>
            <w14:solidFill>
              <w14:schemeClr w14:val="tx1"/>
            </w14:solidFill>
          </w14:textFill>
        </w:rPr>
        <w:tab/>
      </w:r>
      <w:r>
        <w:rPr>
          <w:rFonts w:hint="default" w:ascii="Candara" w:hAnsi="Candara" w:cs="Candara"/>
          <w:b/>
          <w:bCs/>
          <w:color w:val="000000" w:themeColor="text1"/>
          <w:lang w:val="en-US"/>
          <w14:textFill>
            <w14:solidFill>
              <w14:schemeClr w14:val="tx1"/>
            </w14:solidFill>
          </w14:textFill>
        </w:rPr>
        <w:t>Results &amp; Findings</w:t>
      </w:r>
    </w:p>
    <w:p w14:paraId="1450353A">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5.1.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Introduction to Greenwashing</w:t>
      </w:r>
    </w:p>
    <w:p w14:paraId="6416A266">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 concept of sustainability communication has undergone significant transformation over the past decade, particularly with the rapid expansion of digital and social media platforms. In this evolving communication landscape, corporations increasingly use environmental messaging to shape public perception, enhance brand legitimacy, and respond to growing consumer awareness of ecological issues. However, alongside this positive development, a parallel phenomenon</w:t>
      </w:r>
      <w:r>
        <w:rPr>
          <w:rFonts w:hint="default" w:ascii="Candara" w:hAnsi="Candara" w:cs="Candara"/>
          <w:color w:val="000000" w:themeColor="text1"/>
          <w:lang w:val="en-US"/>
          <w14:textFill>
            <w14:solidFill>
              <w14:schemeClr w14:val="tx1"/>
            </w14:solidFill>
          </w14:textFill>
        </w:rPr>
        <w:t xml:space="preserve"> </w:t>
      </w:r>
      <w:r>
        <w:rPr>
          <w:rStyle w:val="22"/>
          <w:rFonts w:hint="default" w:ascii="Candara" w:hAnsi="Candara" w:cs="Candara"/>
          <w:b w:val="0"/>
          <w:bCs w:val="0"/>
          <w:color w:val="000000" w:themeColor="text1"/>
          <w14:textFill>
            <w14:solidFill>
              <w14:schemeClr w14:val="tx1"/>
            </w14:solidFill>
          </w14:textFill>
        </w:rPr>
        <w:t>greenwashing</w:t>
      </w:r>
      <w:r>
        <w:rPr>
          <w:rFonts w:hint="default" w:ascii="Candara" w:hAnsi="Candara" w:cs="Candara"/>
          <w:color w:val="000000" w:themeColor="text1"/>
          <w:lang w:val="en-US"/>
          <w14:textFill>
            <w14:solidFill>
              <w14:schemeClr w14:val="tx1"/>
            </w14:solidFill>
          </w14:textFill>
        </w:rPr>
        <w:t xml:space="preserve"> </w:t>
      </w:r>
      <w:r>
        <w:rPr>
          <w:rFonts w:hint="default" w:ascii="Candara" w:hAnsi="Candara" w:cs="Candara"/>
          <w:color w:val="000000" w:themeColor="text1"/>
          <w14:textFill>
            <w14:solidFill>
              <w14:schemeClr w14:val="tx1"/>
            </w14:solidFill>
          </w14:textFill>
        </w:rPr>
        <w:t>has emerged as a critical concern in both academic literature and industry practice.</w:t>
      </w:r>
    </w:p>
    <w:p w14:paraId="536102F6">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Greenwashing refers to the strategic dissemination of misleading, exaggerated, or unsubstantiated environmental claims by organizations to present themselves as environmentally responsible (Delmas &amp; Burbano, 2011). While initially conceptualized as a corporate-level ethical issue, recent research increasingly frames greenwashing as a </w:t>
      </w:r>
      <w:r>
        <w:rPr>
          <w:rStyle w:val="22"/>
          <w:rFonts w:hint="default" w:ascii="Candara" w:hAnsi="Candara" w:cs="Candara"/>
          <w:b w:val="0"/>
          <w:bCs w:val="0"/>
          <w:color w:val="000000" w:themeColor="text1"/>
          <w14:textFill>
            <w14:solidFill>
              <w14:schemeClr w14:val="tx1"/>
            </w14:solidFill>
          </w14:textFill>
        </w:rPr>
        <w:t>communication and perception problem</w:t>
      </w:r>
      <w:r>
        <w:rPr>
          <w:rFonts w:hint="default" w:ascii="Candara" w:hAnsi="Candara" w:cs="Candara"/>
          <w:color w:val="000000" w:themeColor="text1"/>
          <w14:textFill>
            <w14:solidFill>
              <w14:schemeClr w14:val="tx1"/>
            </w14:solidFill>
          </w14:textFill>
        </w:rPr>
        <w:t>, especially within digitally mediated environments such as social media platforms.</w:t>
      </w:r>
    </w:p>
    <w:p w14:paraId="4BBB8463">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This systematic literature review (SLR) synthesizes peer-reviewed research published between 2016 and 2025 to examine how greenwashing and genuine sustainability are communicated, interpreted, and evaluated by audiences in social media contexts. The review particularly focuses on audience detection mechanisms, influencer mediation, social norms, and visual communication strategies that shape sustainability perception.</w:t>
      </w:r>
    </w:p>
    <w:p w14:paraId="73D2AED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7489747E">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5.2.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Methodological Orientation of the Review</w:t>
      </w:r>
    </w:p>
    <w:p w14:paraId="58470D9E">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This review follows a structured systematic approach inspired by PRISMA principles to ensure methodological transparency and replicability. The literature was identified through multiple academic databases, including Scopus, Web of Science, ScienceDirect, and Google Scholar, using carefully constructed keyword combinations such as “greenwashing AND social media,” “sustainability communication AND consumer perception,” and “influencer marketing AND environmental authenticity.”</w:t>
      </w:r>
    </w:p>
    <w:p w14:paraId="38E24C60">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 review includes peer-reviewed journal articles, conference proceedings, and high-impact theoretical contributions published between 2016 and 2025. Studies were included based on their relevance to sustainability communication, digital media, audience perception, and greenwashing detection mechanisms.</w:t>
      </w:r>
    </w:p>
    <w:p w14:paraId="5C98E0E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6FF8080E">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5.3. </w:t>
      </w:r>
      <w:r>
        <w:rPr>
          <w:rFonts w:hint="default" w:ascii="Candara" w:hAnsi="Candara" w:cs="Candara"/>
          <w:bCs/>
          <w:color w:val="auto"/>
          <w:sz w:val="24"/>
          <w:szCs w:val="24"/>
        </w:rPr>
        <w:tab/>
      </w:r>
      <w:r>
        <w:rPr>
          <w:rFonts w:hint="default" w:ascii="Candara" w:hAnsi="Candara" w:cs="Candara"/>
          <w:bCs/>
          <w:color w:val="auto"/>
          <w:sz w:val="24"/>
          <w:szCs w:val="24"/>
        </w:rPr>
        <w:t>Evolution of Greenwashing as a Research Construct (2016–2025)</w:t>
      </w:r>
    </w:p>
    <w:p w14:paraId="1959E5A4">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5.3.1 From Corporate Misconduct to Communication Strategy</w:t>
      </w:r>
    </w:p>
    <w:p w14:paraId="28CB956D">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Early literature conceptualized greenwashing primarily as a corporate ethical violation. Delmas and Burbano (2011) define it as the intersection of poor environmental performance and positive communication about environmental performance. However, post-2016 research increasingly shifts the focus from corporate intent to </w:t>
      </w:r>
      <w:r>
        <w:rPr>
          <w:rStyle w:val="22"/>
          <w:rFonts w:hint="default" w:ascii="Candara" w:hAnsi="Candara" w:cs="Candara"/>
          <w:b w:val="0"/>
          <w:bCs w:val="0"/>
        </w:rPr>
        <w:t>audience interpretation and communication framing</w:t>
      </w:r>
      <w:r>
        <w:rPr>
          <w:rFonts w:hint="default" w:ascii="Candara" w:hAnsi="Candara" w:cs="Candara"/>
        </w:rPr>
        <w:t>.</w:t>
      </w:r>
    </w:p>
    <w:p w14:paraId="25305010">
      <w:pPr>
        <w:pStyle w:val="21"/>
        <w:spacing w:before="0" w:beforeAutospacing="0" w:after="0" w:afterAutospacing="0" w:line="24" w:lineRule="atLeast"/>
        <w:jc w:val="both"/>
        <w:rPr>
          <w:rFonts w:hint="default" w:ascii="Candara" w:hAnsi="Candara" w:cs="Candara"/>
        </w:rPr>
      </w:pPr>
      <w:r>
        <w:rPr>
          <w:rFonts w:hint="default" w:ascii="Candara" w:hAnsi="Candara" w:cs="Candara"/>
        </w:rPr>
        <w:t>Lyon and Montgomery (2015) argue that firms strategically engage in symbolic environmental communication to gain legitimacy without implementing substantive environmental reforms. This perspective has been further expanded by Testa et al. (2018), who highlight that sustainability reporting often contains selective disclosure, making it difficult for stakeholders to assess authenticity.</w:t>
      </w:r>
    </w:p>
    <w:p w14:paraId="497C4B01">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Between 2016 and 2020, research largely focused on regulatory frameworks, corporate social responsibility (CSR) reporting, and institutional accountability. However, with the rise of digital platforms, greenwashing research expanded into </w:t>
      </w:r>
      <w:r>
        <w:rPr>
          <w:rStyle w:val="22"/>
          <w:rFonts w:hint="default" w:ascii="Candara" w:hAnsi="Candara" w:cs="Candara"/>
          <w:b w:val="0"/>
          <w:bCs w:val="0"/>
        </w:rPr>
        <w:t>media ecology and digital communication studies</w:t>
      </w:r>
      <w:r>
        <w:rPr>
          <w:rFonts w:hint="default" w:ascii="Candara" w:hAnsi="Candara" w:cs="Candara"/>
        </w:rPr>
        <w:t>, emphasizing the role of social media in shaping sustainability narratives.</w:t>
      </w:r>
    </w:p>
    <w:p w14:paraId="4056535C">
      <w:pPr>
        <w:pStyle w:val="21"/>
        <w:spacing w:before="0" w:beforeAutospacing="0" w:after="0" w:afterAutospacing="0" w:line="24" w:lineRule="atLeast"/>
        <w:jc w:val="both"/>
        <w:rPr>
          <w:rFonts w:hint="default" w:ascii="Candara" w:hAnsi="Candara" w:cs="Candara"/>
        </w:rPr>
      </w:pPr>
    </w:p>
    <w:p w14:paraId="4AC8BCC6">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 xml:space="preserve">5.4. </w:t>
      </w:r>
      <w:r>
        <w:rPr>
          <w:rFonts w:hint="default" w:ascii="Candara" w:hAnsi="Candara" w:cs="Candara"/>
          <w:bCs/>
          <w:color w:val="auto"/>
          <w:sz w:val="24"/>
          <w:szCs w:val="24"/>
        </w:rPr>
        <w:tab/>
      </w:r>
      <w:r>
        <w:rPr>
          <w:rFonts w:hint="default" w:ascii="Candara" w:hAnsi="Candara" w:cs="Candara"/>
          <w:bCs/>
          <w:color w:val="auto"/>
          <w:sz w:val="24"/>
          <w:szCs w:val="24"/>
        </w:rPr>
        <w:t>Social Media as an Ecosystem for Sustainability Communication</w:t>
      </w:r>
    </w:p>
    <w:p w14:paraId="11FED54B">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5.4.1 The Shift to Platform-Based Environmental Communication</w:t>
      </w:r>
    </w:p>
    <w:p w14:paraId="78495E28">
      <w:pPr>
        <w:pStyle w:val="21"/>
        <w:spacing w:before="0" w:beforeAutospacing="0" w:after="0" w:afterAutospacing="0" w:line="24" w:lineRule="atLeast"/>
        <w:jc w:val="both"/>
        <w:rPr>
          <w:rFonts w:hint="default" w:ascii="Candara" w:hAnsi="Candara" w:cs="Candara"/>
        </w:rPr>
      </w:pPr>
      <w:r>
        <w:rPr>
          <w:rFonts w:hint="default" w:ascii="Candara" w:hAnsi="Candara" w:cs="Candara"/>
        </w:rPr>
        <w:t>Social media platforms such as Instagram, Facebook, TikTok, and YouTube have fundamentally reshaped how sustainability messages are produced and consumed. Unlike traditional media, these platforms prioritize visual storytelling, engagement metrics, and algorithmic visibility, which significantly influence how environmental messages are constructed.</w:t>
      </w:r>
    </w:p>
    <w:p w14:paraId="31AE2269">
      <w:pPr>
        <w:pStyle w:val="21"/>
        <w:spacing w:before="0" w:beforeAutospacing="0" w:after="0" w:afterAutospacing="0" w:line="24" w:lineRule="atLeast"/>
        <w:jc w:val="both"/>
        <w:rPr>
          <w:rFonts w:hint="default" w:ascii="Candara" w:hAnsi="Candara" w:cs="Candara"/>
        </w:rPr>
      </w:pPr>
      <w:r>
        <w:rPr>
          <w:rFonts w:hint="default" w:ascii="Candara" w:hAnsi="Candara" w:cs="Candara"/>
        </w:rPr>
        <w:t xml:space="preserve">Kapoor et al. (2021) note that brands increasingly use aestheticized environmental imagery—such as natural landscapes, green color palettes, and eco-friendly symbolism—to construct sustainability narratives that prioritize emotional appeal over factual accuracy. This phenomenon has been described as </w:t>
      </w:r>
      <w:r>
        <w:rPr>
          <w:rStyle w:val="22"/>
          <w:rFonts w:hint="default" w:ascii="Candara" w:hAnsi="Candara" w:cs="Candara"/>
          <w:b w:val="0"/>
          <w:bCs w:val="0"/>
        </w:rPr>
        <w:t>“visual sustainability framing.”</w:t>
      </w:r>
    </w:p>
    <w:p w14:paraId="006AF5FB">
      <w:pPr>
        <w:pStyle w:val="21"/>
        <w:spacing w:before="0" w:beforeAutospacing="0" w:after="0" w:afterAutospacing="0" w:line="24" w:lineRule="atLeast"/>
        <w:jc w:val="both"/>
        <w:rPr>
          <w:rStyle w:val="22"/>
          <w:rFonts w:hint="default" w:ascii="Candara" w:hAnsi="Candara" w:cs="Candara"/>
          <w:b w:val="0"/>
          <w:bCs w:val="0"/>
        </w:rPr>
      </w:pPr>
      <w:r>
        <w:rPr>
          <w:rFonts w:hint="default" w:ascii="Candara" w:hAnsi="Candara" w:cs="Candara"/>
        </w:rPr>
        <w:t xml:space="preserve">Similarly, Kim and Kim (2021) found that Instagram-based sustainability communication often emphasizes lifestyle branding rather than measurable environmental impact. This creates a gap between </w:t>
      </w:r>
      <w:r>
        <w:rPr>
          <w:rStyle w:val="22"/>
          <w:rFonts w:hint="default" w:ascii="Candara" w:hAnsi="Candara" w:cs="Candara"/>
          <w:b w:val="0"/>
          <w:bCs w:val="0"/>
        </w:rPr>
        <w:t>symbolic sustainability (perceived image)</w:t>
      </w:r>
      <w:r>
        <w:rPr>
          <w:rFonts w:hint="default" w:ascii="Candara" w:hAnsi="Candara" w:cs="Candara"/>
        </w:rPr>
        <w:t xml:space="preserve"> and </w:t>
      </w:r>
      <w:r>
        <w:rPr>
          <w:rStyle w:val="22"/>
          <w:rFonts w:hint="default" w:ascii="Candara" w:hAnsi="Candara" w:cs="Candara"/>
          <w:b w:val="0"/>
          <w:bCs w:val="0"/>
        </w:rPr>
        <w:t>operational sustainability (actual practice).</w:t>
      </w:r>
    </w:p>
    <w:p w14:paraId="344F6552">
      <w:pPr>
        <w:pStyle w:val="21"/>
        <w:spacing w:before="0" w:beforeAutospacing="0" w:after="0" w:afterAutospacing="0" w:line="24" w:lineRule="atLeast"/>
        <w:jc w:val="both"/>
        <w:rPr>
          <w:rFonts w:hint="default" w:ascii="Candara" w:hAnsi="Candara" w:cs="Candara"/>
        </w:rPr>
      </w:pPr>
    </w:p>
    <w:p w14:paraId="226B5DE0">
      <w:pPr>
        <w:pStyle w:val="4"/>
        <w:spacing w:before="0" w:line="24" w:lineRule="atLeast"/>
        <w:jc w:val="both"/>
        <w:rPr>
          <w:rFonts w:hint="default" w:ascii="Candara" w:hAnsi="Candara" w:cs="Candara"/>
          <w:b/>
          <w:bCs/>
          <w:color w:val="000000" w:themeColor="text1"/>
          <w:sz w:val="24"/>
          <w:szCs w:val="24"/>
          <w14:textFill>
            <w14:solidFill>
              <w14:schemeClr w14:val="tx1"/>
            </w14:solidFill>
          </w14:textFill>
        </w:rPr>
      </w:pPr>
      <w:r>
        <w:rPr>
          <w:rFonts w:hint="default" w:ascii="Candara" w:hAnsi="Candara" w:cs="Candara"/>
          <w:b/>
          <w:bCs/>
          <w:color w:val="000000" w:themeColor="text1"/>
          <w:sz w:val="24"/>
          <w:szCs w:val="24"/>
          <w14:textFill>
            <w14:solidFill>
              <w14:schemeClr w14:val="tx1"/>
            </w14:solidFill>
          </w14:textFill>
        </w:rPr>
        <w:t xml:space="preserve">5.5. </w:t>
      </w:r>
      <w:r>
        <w:rPr>
          <w:rFonts w:hint="default" w:ascii="Candara" w:hAnsi="Candara" w:cs="Candara"/>
          <w:b/>
          <w:bCs/>
          <w:color w:val="000000" w:themeColor="text1"/>
          <w:sz w:val="24"/>
          <w:szCs w:val="24"/>
          <w14:textFill>
            <w14:solidFill>
              <w14:schemeClr w14:val="tx1"/>
            </w14:solidFill>
          </w14:textFill>
        </w:rPr>
        <w:tab/>
      </w:r>
      <w:r>
        <w:rPr>
          <w:rFonts w:hint="default" w:ascii="Candara" w:hAnsi="Candara" w:cs="Candara"/>
          <w:b/>
          <w:bCs/>
          <w:color w:val="000000" w:themeColor="text1"/>
          <w:sz w:val="24"/>
          <w:szCs w:val="24"/>
          <w14:textFill>
            <w14:solidFill>
              <w14:schemeClr w14:val="tx1"/>
            </w14:solidFill>
          </w14:textFill>
        </w:rPr>
        <w:t>Algorithmic Amplification and Visibility Bias</w:t>
      </w:r>
    </w:p>
    <w:p w14:paraId="0BFD1CFE">
      <w:pPr>
        <w:pStyle w:val="21"/>
        <w:spacing w:before="0" w:beforeAutospacing="0" w:after="0" w:afterAutospacing="0" w:line="24" w:lineRule="atLeast"/>
        <w:jc w:val="both"/>
        <w:rPr>
          <w:rFonts w:hint="default" w:ascii="Candara" w:hAnsi="Candara" w:cs="Candara"/>
        </w:rPr>
      </w:pPr>
      <w:r>
        <w:rPr>
          <w:rFonts w:hint="default" w:ascii="Candara" w:hAnsi="Candara" w:cs="Candara"/>
        </w:rPr>
        <w:t>Another critical dimension is the role of algorithmic systems in amplifying sustainability content. Lim et al. (2022) argue that engagement-driven algorithms prioritize content that is visually appealing and emotionally resonant, often rewarding superficial sustainability messaging over substantive environmental reporting.</w:t>
      </w:r>
    </w:p>
    <w:p w14:paraId="084DE740">
      <w:pPr>
        <w:pStyle w:val="21"/>
        <w:spacing w:before="0" w:beforeAutospacing="0" w:after="0" w:afterAutospacing="0" w:line="24" w:lineRule="atLeast"/>
        <w:jc w:val="both"/>
        <w:rPr>
          <w:rFonts w:hint="default" w:ascii="Candara" w:hAnsi="Candara" w:cs="Candara"/>
        </w:rPr>
      </w:pPr>
      <w:r>
        <w:rPr>
          <w:rFonts w:hint="default" w:ascii="Candara" w:hAnsi="Candara" w:cs="Candara"/>
        </w:rPr>
        <w:t>This algorithmic bias contributes to the normalization of performative sustainability, where brands and influencers prioritize content that maximizes visibility rather than environmental accuracy.</w:t>
      </w:r>
    </w:p>
    <w:p w14:paraId="3694365D">
      <w:pPr>
        <w:pStyle w:val="21"/>
        <w:spacing w:before="0" w:beforeAutospacing="0" w:after="0" w:afterAutospacing="0" w:line="24" w:lineRule="atLeast"/>
        <w:jc w:val="both"/>
        <w:rPr>
          <w:rFonts w:hint="default" w:ascii="Candara" w:hAnsi="Candara" w:cs="Candara"/>
        </w:rPr>
      </w:pPr>
    </w:p>
    <w:p w14:paraId="2FAD291A">
      <w:pPr>
        <w:pStyle w:val="3"/>
        <w:spacing w:before="0" w:line="24" w:lineRule="atLeast"/>
        <w:jc w:val="both"/>
        <w:rPr>
          <w:rFonts w:hint="default" w:ascii="Candara" w:hAnsi="Candara" w:cs="Candara"/>
          <w:b w:val="0"/>
          <w:bCs/>
          <w:color w:val="auto"/>
          <w:sz w:val="24"/>
          <w:szCs w:val="24"/>
        </w:rPr>
      </w:pPr>
      <w:r>
        <w:rPr>
          <w:rFonts w:hint="default" w:ascii="Candara" w:hAnsi="Candara" w:cs="Candara"/>
          <w:bCs/>
          <w:color w:val="auto"/>
          <w:sz w:val="24"/>
          <w:szCs w:val="24"/>
        </w:rPr>
        <w:t>5.6. Influencer Marketing and Sustainability Narratives</w:t>
      </w:r>
    </w:p>
    <w:p w14:paraId="210E9809">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5.6.1 Influencers as Sustainability Intermediaries</w:t>
      </w:r>
    </w:p>
    <w:p w14:paraId="47EB5B56">
      <w:pPr>
        <w:pStyle w:val="21"/>
        <w:spacing w:before="0" w:beforeAutospacing="0" w:after="0" w:afterAutospacing="0" w:line="24" w:lineRule="atLeast"/>
        <w:jc w:val="both"/>
        <w:rPr>
          <w:rFonts w:hint="default" w:ascii="Candara" w:hAnsi="Candara" w:cs="Candara"/>
        </w:rPr>
      </w:pPr>
      <w:r>
        <w:rPr>
          <w:rFonts w:hint="default" w:ascii="Candara" w:hAnsi="Candara" w:cs="Candara"/>
        </w:rPr>
        <w:t>Influencer marketing has emerged as a dominant force in shaping consumer perceptions of sustainability. Influencers act as intermediaries between brands and audiences, translating corporate sustainability messages into relatable lifestyle content.</w:t>
      </w:r>
    </w:p>
    <w:p w14:paraId="2B1BCE12">
      <w:pPr>
        <w:pStyle w:val="21"/>
        <w:spacing w:before="0" w:beforeAutospacing="0" w:after="0" w:afterAutospacing="0" w:line="24" w:lineRule="atLeast"/>
        <w:jc w:val="both"/>
        <w:rPr>
          <w:rFonts w:hint="default" w:ascii="Candara" w:hAnsi="Candara" w:cs="Candara"/>
        </w:rPr>
      </w:pPr>
      <w:r>
        <w:rPr>
          <w:rFonts w:hint="default" w:ascii="Candara" w:hAnsi="Candara" w:cs="Candara"/>
        </w:rPr>
        <w:t>Lou and Yuan (2019) demonstrate that influencer credibility significantly impacts consumer trust, engagement, and purchase intention. However, credibility in influencer communication is often based on perceived authenticity rather than factual accuracy.</w:t>
      </w:r>
    </w:p>
    <w:p w14:paraId="64BD3FD6">
      <w:pPr>
        <w:pStyle w:val="21"/>
        <w:spacing w:before="0" w:beforeAutospacing="0" w:after="0" w:afterAutospacing="0" w:line="24" w:lineRule="atLeast"/>
        <w:jc w:val="both"/>
        <w:rPr>
          <w:rFonts w:hint="default" w:ascii="Candara" w:hAnsi="Candara" w:cs="Candara"/>
        </w:rPr>
      </w:pPr>
      <w:r>
        <w:rPr>
          <w:rFonts w:hint="default" w:ascii="Candara" w:hAnsi="Candara" w:cs="Candara"/>
        </w:rPr>
        <w:t>Audrezet et al. (2020) further argue that authenticity in influencer marketing is constructed through narrative consistency and emotional resonance, rather than objective environmental verification. This creates a paradox where influencers can simultaneously promote sustainability while participating in greenwashing practices.</w:t>
      </w:r>
    </w:p>
    <w:p w14:paraId="4B46D087">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76BAB86F">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5.6.2 Sponsored Sustainability and Ethical Ambiguity</w:t>
      </w:r>
    </w:p>
    <w:p w14:paraId="7442820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A growing body of literature highlights the ethical tension between paid partnerships and environmental advocacy. When influencers promote eco-friendly products through sponsorships, audiences may struggle to distinguish between genuine advocacy and commercial persuasion.</w:t>
      </w:r>
    </w:p>
    <w:p w14:paraId="3682D1DC">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This ambiguity contributes to what scholars describe as </w:t>
      </w:r>
      <w:r>
        <w:rPr>
          <w:rStyle w:val="22"/>
          <w:rFonts w:hint="default" w:ascii="Candara" w:hAnsi="Candara" w:cs="Candara"/>
          <w:b w:val="0"/>
          <w:bCs w:val="0"/>
          <w:color w:val="000000" w:themeColor="text1"/>
          <w14:textFill>
            <w14:solidFill>
              <w14:schemeClr w14:val="tx1"/>
            </w14:solidFill>
          </w14:textFill>
        </w:rPr>
        <w:t>“commercialized sustainability discourse,”</w:t>
      </w:r>
      <w:r>
        <w:rPr>
          <w:rFonts w:hint="default" w:ascii="Candara" w:hAnsi="Candara" w:cs="Candara"/>
          <w:color w:val="000000" w:themeColor="text1"/>
          <w14:textFill>
            <w14:solidFill>
              <w14:schemeClr w14:val="tx1"/>
            </w14:solidFill>
          </w14:textFill>
        </w:rPr>
        <w:t xml:space="preserve"> where environmental messaging is embedded within consumerist frameworks rather than ecological transformation.</w:t>
      </w:r>
    </w:p>
    <w:p w14:paraId="53B9A8E2">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490B647">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5.7.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Audience Perception and Detection of Greenwashing</w:t>
      </w:r>
    </w:p>
    <w:p w14:paraId="0EAD82E9">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5.7.1 Cognitive and Psychological Mechanisms</w:t>
      </w:r>
    </w:p>
    <w:p w14:paraId="3183D23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Audience detection of greenwashing is influenced by cognitive, emotional, and contextual factors. Research indicates that consumers rely on heuristic processing when evaluating sustainability claims, especially in fast-paced social media environments.</w:t>
      </w:r>
    </w:p>
    <w:p w14:paraId="2923D927">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Nyilasy et al. (2014) suggest that consumer skepticism increases when environmental claims lack specificity or appear exaggerated. However, skepticism alone does not guarantee accurate detection of greenwashing, as audiences may still be influenced by persuasive visual and emotional cues.</w:t>
      </w:r>
    </w:p>
    <w:p w14:paraId="5F4E72DA">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Nguyen et al. (2023) emphasize that social media users often rely on </w:t>
      </w:r>
      <w:r>
        <w:rPr>
          <w:rStyle w:val="22"/>
          <w:rFonts w:hint="default" w:ascii="Candara" w:hAnsi="Candara" w:cs="Candara"/>
          <w:b w:val="0"/>
          <w:bCs w:val="0"/>
          <w:color w:val="000000" w:themeColor="text1"/>
          <w14:textFill>
            <w14:solidFill>
              <w14:schemeClr w14:val="tx1"/>
            </w14:solidFill>
          </w14:textFill>
        </w:rPr>
        <w:t>visual heuristics</w:t>
      </w:r>
      <w:r>
        <w:rPr>
          <w:rFonts w:hint="default" w:ascii="Candara" w:hAnsi="Candara" w:cs="Candara"/>
          <w:color w:val="000000" w:themeColor="text1"/>
          <w14:textFill>
            <w14:solidFill>
              <w14:schemeClr w14:val="tx1"/>
            </w14:solidFill>
          </w14:textFill>
        </w:rPr>
        <w:t>, such as color schemes, imagery, and influencer endorsements, rather than factual environmental data. This increases vulnerability to subtle forms of greenwashing.</w:t>
      </w:r>
    </w:p>
    <w:p w14:paraId="5F98EC2F">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08A9C2DC">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5.7.2 Role of Digital Literacy</w:t>
      </w:r>
    </w:p>
    <w:p w14:paraId="73A52818">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Digital literacy plays a critical role in shaping audience interpretation. Zhang et al. (2021) found that individuals with higher digital literacy are more likely to critically evaluate sustainability claims and identify inconsistencies between communication and actual corporate behavior.</w:t>
      </w:r>
    </w:p>
    <w:p w14:paraId="22000713">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However, younger audiences—despite being highly active on social media—often exhibit lower critical evaluation of sustainability messaging due to reliance on platform-driven cues and peer validation mechanisms.</w:t>
      </w:r>
    </w:p>
    <w:p w14:paraId="761C1C2C">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5.8.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Social Norms, Engagement, and Perceived Authenticity</w:t>
      </w:r>
    </w:p>
    <w:p w14:paraId="2F71ADA2">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Social validation mechanisms such as likes, shares, and comments significantly influence how sustainability messages are perceived. Kapoor et al. (2021) argue that social endorsement functions as a heuristic for credibility, where high engagement levels are interpreted as indicators of authenticity.</w:t>
      </w:r>
    </w:p>
    <w:p w14:paraId="371EFE30">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This phenomenon contributes to </w:t>
      </w:r>
      <w:r>
        <w:rPr>
          <w:rStyle w:val="22"/>
          <w:rFonts w:hint="default" w:ascii="Candara" w:hAnsi="Candara" w:cs="Candara"/>
          <w:b w:val="0"/>
          <w:bCs w:val="0"/>
          <w:color w:val="000000" w:themeColor="text1"/>
          <w14:textFill>
            <w14:solidFill>
              <w14:schemeClr w14:val="tx1"/>
            </w14:solidFill>
          </w14:textFill>
        </w:rPr>
        <w:t>normative conformity</w:t>
      </w:r>
      <w:r>
        <w:rPr>
          <w:rFonts w:hint="default" w:ascii="Candara" w:hAnsi="Candara" w:cs="Candara"/>
          <w:color w:val="000000" w:themeColor="text1"/>
          <w14:textFill>
            <w14:solidFill>
              <w14:schemeClr w14:val="tx1"/>
            </w14:solidFill>
          </w14:textFill>
        </w:rPr>
        <w:t>, where individuals align their perceptions of sustainability messages with dominant social signals rather than independent evaluation.</w:t>
      </w:r>
    </w:p>
    <w:p w14:paraId="3B0A4537">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Furthermore, the co-creation of meaning between users and content creators reinforces perceived authenticity. When audiences actively engage with sustainability content, they contribute to its legitimacy, even if the underlying claims are weak or misleading.</w:t>
      </w:r>
    </w:p>
    <w:p w14:paraId="140E174A">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7BA03038">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5.9.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Genuine Sustainability vs. Performative Environmentalism</w:t>
      </w:r>
    </w:p>
    <w:p w14:paraId="4B66D957">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5.9.1. Conceptual Distinction</w:t>
      </w:r>
    </w:p>
    <w:p w14:paraId="43ACC85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A central debate in the literature revolves around distinguishing genuine sustainability from performative environmentalism. Genuine sustainability refers to measurable environmental improvements, including reduced emissions, sustainable sourcing, and transparent reporting. In contrast, performative environmentalism involves symbolic actions designed primarily to enhance brand image without substantive ecological impact.</w:t>
      </w:r>
      <w:r>
        <w:rPr>
          <w:rFonts w:hint="default" w:ascii="Candara" w:hAnsi="Candara" w:cs="Candara"/>
          <w:color w:val="000000" w:themeColor="text1"/>
          <w:lang w:val="en-US"/>
          <w14:textFill>
            <w14:solidFill>
              <w14:schemeClr w14:val="tx1"/>
            </w14:solidFill>
          </w14:textFill>
        </w:rPr>
        <w:t xml:space="preserve"> </w:t>
      </w:r>
      <w:r>
        <w:rPr>
          <w:rFonts w:hint="default" w:ascii="Candara" w:hAnsi="Candara" w:cs="Candara"/>
          <w:color w:val="000000" w:themeColor="text1"/>
          <w14:textFill>
            <w14:solidFill>
              <w14:schemeClr w14:val="tx1"/>
            </w14:solidFill>
          </w14:textFill>
        </w:rPr>
        <w:t>Furlow (2010) and Lyon &amp; Montgomery (2015) emphasize that this distinction is increasingly blurred in digital communication environments.</w:t>
      </w:r>
    </w:p>
    <w:p w14:paraId="568E23AB">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p>
    <w:p w14:paraId="25FB3934">
      <w:pPr>
        <w:pStyle w:val="4"/>
        <w:spacing w:before="0" w:line="24" w:lineRule="atLeast"/>
        <w:jc w:val="both"/>
        <w:rPr>
          <w:rFonts w:hint="default" w:ascii="Candara" w:hAnsi="Candara" w:cs="Candara"/>
          <w:b/>
          <w:bCs/>
          <w:i/>
          <w:iCs/>
          <w:color w:val="000000" w:themeColor="text1"/>
          <w:sz w:val="24"/>
          <w:szCs w:val="24"/>
          <w14:textFill>
            <w14:solidFill>
              <w14:schemeClr w14:val="tx1"/>
            </w14:solidFill>
          </w14:textFill>
        </w:rPr>
      </w:pPr>
      <w:r>
        <w:rPr>
          <w:rFonts w:hint="default" w:ascii="Candara" w:hAnsi="Candara" w:cs="Candara"/>
          <w:b/>
          <w:bCs/>
          <w:i/>
          <w:iCs/>
          <w:color w:val="000000" w:themeColor="text1"/>
          <w:sz w:val="24"/>
          <w:szCs w:val="24"/>
          <w14:textFill>
            <w14:solidFill>
              <w14:schemeClr w14:val="tx1"/>
            </w14:solidFill>
          </w14:textFill>
        </w:rPr>
        <w:t>5.9.2. Aestheticization of Sustainability</w:t>
      </w:r>
    </w:p>
    <w:p w14:paraId="31CE50D0">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Banerjee (2020) introduces the concept of </w:t>
      </w:r>
      <w:r>
        <w:rPr>
          <w:rStyle w:val="22"/>
          <w:rFonts w:hint="default" w:ascii="Candara" w:hAnsi="Candara" w:cs="Candara"/>
          <w:b w:val="0"/>
          <w:bCs w:val="0"/>
          <w:color w:val="000000" w:themeColor="text1"/>
          <w14:textFill>
            <w14:solidFill>
              <w14:schemeClr w14:val="tx1"/>
            </w14:solidFill>
          </w14:textFill>
        </w:rPr>
        <w:t>“aesthetic sustainability,”</w:t>
      </w:r>
      <w:r>
        <w:rPr>
          <w:rFonts w:hint="default" w:ascii="Candara" w:hAnsi="Candara" w:cs="Candara"/>
          <w:color w:val="000000" w:themeColor="text1"/>
          <w14:textFill>
            <w14:solidFill>
              <w14:schemeClr w14:val="tx1"/>
            </w14:solidFill>
          </w14:textFill>
        </w:rPr>
        <w:t xml:space="preserve"> where environmentalism is reduced to visual appeal rather than systemic change. Social media platforms amplify this trend by rewarding visually engaging content, thereby incentivizing superficial environmental messaging.</w:t>
      </w:r>
      <w:r>
        <w:rPr>
          <w:rFonts w:hint="default" w:ascii="Candara" w:hAnsi="Candara" w:cs="Candara"/>
          <w:color w:val="000000" w:themeColor="text1"/>
          <w:lang w:val="en-US"/>
          <w14:textFill>
            <w14:solidFill>
              <w14:schemeClr w14:val="tx1"/>
            </w14:solidFill>
          </w14:textFill>
        </w:rPr>
        <w:t xml:space="preserve"> </w:t>
      </w:r>
      <w:r>
        <w:rPr>
          <w:rFonts w:hint="default" w:ascii="Candara" w:hAnsi="Candara" w:cs="Candara"/>
          <w:color w:val="000000" w:themeColor="text1"/>
          <w14:textFill>
            <w14:solidFill>
              <w14:schemeClr w14:val="tx1"/>
            </w14:solidFill>
          </w14:textFill>
        </w:rPr>
        <w:t>As a result, sustainability becomes commodified as a lifestyle aesthetic rather than a transformative practice.</w:t>
      </w:r>
    </w:p>
    <w:p w14:paraId="52FF1BFF">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FE1D6B6">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5.10.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Emerging Trends in Greenwashing Research (2020–2025)</w:t>
      </w:r>
    </w:p>
    <w:p w14:paraId="35F6CC20">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Recent literature reflects a shift toward interdisciplinary approaches combining communication studies, marketing, psychology, and data science. Key emerging trends include:</w:t>
      </w:r>
    </w:p>
    <w:p w14:paraId="5801B074">
      <w:pPr>
        <w:widowControl/>
        <w:numPr>
          <w:ilvl w:val="0"/>
          <w:numId w:val="12"/>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AI-driven detection of greenwashing in digital content </w:t>
      </w:r>
    </w:p>
    <w:p w14:paraId="53DB4142">
      <w:pPr>
        <w:widowControl/>
        <w:numPr>
          <w:ilvl w:val="0"/>
          <w:numId w:val="12"/>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Sentiment analysis of sustainability discourse on social media </w:t>
      </w:r>
    </w:p>
    <w:p w14:paraId="1D636921">
      <w:pPr>
        <w:widowControl/>
        <w:numPr>
          <w:ilvl w:val="0"/>
          <w:numId w:val="12"/>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Role of micro-influencers in shaping eco-consumption </w:t>
      </w:r>
    </w:p>
    <w:p w14:paraId="09C4DCE6">
      <w:pPr>
        <w:widowControl/>
        <w:numPr>
          <w:ilvl w:val="0"/>
          <w:numId w:val="12"/>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Cross-cultural differences in sustainability perception </w:t>
      </w:r>
    </w:p>
    <w:p w14:paraId="605B2916">
      <w:pPr>
        <w:widowControl/>
        <w:numPr>
          <w:ilvl w:val="0"/>
          <w:numId w:val="12"/>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Impact of short-form video platforms (TikTok, Reels) on environmental messaging </w:t>
      </w:r>
    </w:p>
    <w:p w14:paraId="2444206A">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These developments indicate that greenwashing is no longer only a corporate communication issue but a </w:t>
      </w:r>
      <w:r>
        <w:rPr>
          <w:rStyle w:val="22"/>
          <w:rFonts w:hint="default" w:ascii="Candara" w:hAnsi="Candara" w:cs="Candara"/>
          <w:b w:val="0"/>
          <w:bCs w:val="0"/>
          <w:color w:val="000000" w:themeColor="text1"/>
          <w14:textFill>
            <w14:solidFill>
              <w14:schemeClr w14:val="tx1"/>
            </w14:solidFill>
          </w14:textFill>
        </w:rPr>
        <w:t>platform-mediated perceptual phenomenon</w:t>
      </w:r>
      <w:r>
        <w:rPr>
          <w:rFonts w:hint="default" w:ascii="Candara" w:hAnsi="Candara" w:cs="Candara"/>
          <w:color w:val="000000" w:themeColor="text1"/>
          <w14:textFill>
            <w14:solidFill>
              <w14:schemeClr w14:val="tx1"/>
            </w14:solidFill>
          </w14:textFill>
        </w:rPr>
        <w:t>.</w:t>
      </w:r>
    </w:p>
    <w:p w14:paraId="649C39CE">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58626F9F">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5.11.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Research Gaps and Synthesis</w:t>
      </w:r>
    </w:p>
    <w:p w14:paraId="53611428">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Despite significant advancements, several gaps remain in the literature:</w:t>
      </w:r>
    </w:p>
    <w:p w14:paraId="4E4F23DD">
      <w:pPr>
        <w:widowControl/>
        <w:numPr>
          <w:ilvl w:val="0"/>
          <w:numId w:val="13"/>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Limited empirical research on </w:t>
      </w:r>
      <w:r>
        <w:rPr>
          <w:rStyle w:val="22"/>
          <w:rFonts w:hint="default" w:ascii="Candara" w:hAnsi="Candara" w:cs="Candara"/>
          <w:b w:val="0"/>
          <w:bCs w:val="0"/>
          <w:color w:val="000000" w:themeColor="text1"/>
          <w:sz w:val="24"/>
          <w:szCs w:val="24"/>
          <w14:textFill>
            <w14:solidFill>
              <w14:schemeClr w14:val="tx1"/>
            </w14:solidFill>
          </w14:textFill>
        </w:rPr>
        <w:t>audience-level detection processes</w:t>
      </w:r>
      <w:r>
        <w:rPr>
          <w:rFonts w:hint="default" w:ascii="Candara" w:hAnsi="Candara" w:cs="Candara"/>
          <w:color w:val="000000" w:themeColor="text1"/>
          <w:sz w:val="24"/>
          <w:szCs w:val="24"/>
          <w14:textFill>
            <w14:solidFill>
              <w14:schemeClr w14:val="tx1"/>
            </w14:solidFill>
          </w14:textFill>
        </w:rPr>
        <w:t xml:space="preserve">, particularly in developing countries such as Pakistan. </w:t>
      </w:r>
    </w:p>
    <w:p w14:paraId="4D1FAD40">
      <w:pPr>
        <w:widowControl/>
        <w:numPr>
          <w:ilvl w:val="0"/>
          <w:numId w:val="13"/>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Overemphasis on corporate communication strategies rather than </w:t>
      </w:r>
      <w:r>
        <w:rPr>
          <w:rStyle w:val="22"/>
          <w:rFonts w:hint="default" w:ascii="Candara" w:hAnsi="Candara" w:cs="Candara"/>
          <w:b w:val="0"/>
          <w:bCs w:val="0"/>
          <w:color w:val="000000" w:themeColor="text1"/>
          <w:sz w:val="24"/>
          <w:szCs w:val="24"/>
          <w14:textFill>
            <w14:solidFill>
              <w14:schemeClr w14:val="tx1"/>
            </w14:solidFill>
          </w14:textFill>
        </w:rPr>
        <w:t>user interpretation mechanisms</w:t>
      </w:r>
      <w:r>
        <w:rPr>
          <w:rFonts w:hint="default" w:ascii="Candara" w:hAnsi="Candara" w:cs="Candara"/>
          <w:color w:val="000000" w:themeColor="text1"/>
          <w:sz w:val="24"/>
          <w:szCs w:val="24"/>
          <w14:textFill>
            <w14:solidFill>
              <w14:schemeClr w14:val="tx1"/>
            </w14:solidFill>
          </w14:textFill>
        </w:rPr>
        <w:t xml:space="preserve">. </w:t>
      </w:r>
    </w:p>
    <w:p w14:paraId="53465387">
      <w:pPr>
        <w:widowControl/>
        <w:numPr>
          <w:ilvl w:val="0"/>
          <w:numId w:val="13"/>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Lack of integrated theoretical models combining </w:t>
      </w:r>
      <w:r>
        <w:rPr>
          <w:rStyle w:val="22"/>
          <w:rFonts w:hint="default" w:ascii="Candara" w:hAnsi="Candara" w:cs="Candara"/>
          <w:b w:val="0"/>
          <w:bCs w:val="0"/>
          <w:color w:val="000000" w:themeColor="text1"/>
          <w:sz w:val="24"/>
          <w:szCs w:val="24"/>
          <w14:textFill>
            <w14:solidFill>
              <w14:schemeClr w14:val="tx1"/>
            </w14:solidFill>
          </w14:textFill>
        </w:rPr>
        <w:t>social media interaction, influencer credibility, and sustainability perception</w:t>
      </w:r>
      <w:r>
        <w:rPr>
          <w:rFonts w:hint="default" w:ascii="Candara" w:hAnsi="Candara" w:cs="Candara"/>
          <w:color w:val="000000" w:themeColor="text1"/>
          <w:sz w:val="24"/>
          <w:szCs w:val="24"/>
          <w14:textFill>
            <w14:solidFill>
              <w14:schemeClr w14:val="tx1"/>
            </w14:solidFill>
          </w14:textFill>
        </w:rPr>
        <w:t xml:space="preserve">. </w:t>
      </w:r>
    </w:p>
    <w:p w14:paraId="4BFF55BB">
      <w:pPr>
        <w:widowControl/>
        <w:numPr>
          <w:ilvl w:val="0"/>
          <w:numId w:val="13"/>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Insufficient research on </w:t>
      </w:r>
      <w:r>
        <w:rPr>
          <w:rStyle w:val="22"/>
          <w:rFonts w:hint="default" w:ascii="Candara" w:hAnsi="Candara" w:cs="Candara"/>
          <w:b w:val="0"/>
          <w:bCs w:val="0"/>
          <w:color w:val="000000" w:themeColor="text1"/>
          <w:sz w:val="24"/>
          <w:szCs w:val="24"/>
          <w14:textFill>
            <w14:solidFill>
              <w14:schemeClr w14:val="tx1"/>
            </w14:solidFill>
          </w14:textFill>
        </w:rPr>
        <w:t>visual communication cues</w:t>
      </w:r>
      <w:r>
        <w:rPr>
          <w:rFonts w:hint="default" w:ascii="Candara" w:hAnsi="Candara" w:cs="Candara"/>
          <w:color w:val="000000" w:themeColor="text1"/>
          <w:sz w:val="24"/>
          <w:szCs w:val="24"/>
          <w14:textFill>
            <w14:solidFill>
              <w14:schemeClr w14:val="tx1"/>
            </w14:solidFill>
          </w14:textFill>
        </w:rPr>
        <w:t xml:space="preserve"> and their role in greenwashing detection. </w:t>
      </w:r>
    </w:p>
    <w:p w14:paraId="1D88D229">
      <w:pPr>
        <w:widowControl/>
        <w:numPr>
          <w:ilvl w:val="0"/>
          <w:numId w:val="13"/>
        </w:numPr>
        <w:spacing w:line="24" w:lineRule="atLeast"/>
        <w:ind w:left="0" w:firstLine="0"/>
        <w:jc w:val="both"/>
        <w:rPr>
          <w:rFonts w:hint="default" w:ascii="Candara" w:hAnsi="Candara" w:cs="Candara"/>
          <w:color w:val="000000" w:themeColor="text1"/>
          <w:sz w:val="24"/>
          <w:szCs w:val="24"/>
          <w14:textFill>
            <w14:solidFill>
              <w14:schemeClr w14:val="tx1"/>
            </w14:solidFill>
          </w14:textFill>
        </w:rPr>
      </w:pPr>
      <w:r>
        <w:rPr>
          <w:rFonts w:hint="default" w:ascii="Candara" w:hAnsi="Candara" w:cs="Candara"/>
          <w:color w:val="000000" w:themeColor="text1"/>
          <w:sz w:val="24"/>
          <w:szCs w:val="24"/>
          <w14:textFill>
            <w14:solidFill>
              <w14:schemeClr w14:val="tx1"/>
            </w14:solidFill>
          </w14:textFill>
        </w:rPr>
        <w:t xml:space="preserve">Minimal exploration of </w:t>
      </w:r>
      <w:r>
        <w:rPr>
          <w:rStyle w:val="22"/>
          <w:rFonts w:hint="default" w:ascii="Candara" w:hAnsi="Candara" w:cs="Candara"/>
          <w:b w:val="0"/>
          <w:bCs w:val="0"/>
          <w:color w:val="000000" w:themeColor="text1"/>
          <w:sz w:val="24"/>
          <w:szCs w:val="24"/>
          <w14:textFill>
            <w14:solidFill>
              <w14:schemeClr w14:val="tx1"/>
            </w14:solidFill>
          </w14:textFill>
        </w:rPr>
        <w:t>value co-creation between audiences and sustainability narratives</w:t>
      </w:r>
      <w:r>
        <w:rPr>
          <w:rFonts w:hint="default" w:ascii="Candara" w:hAnsi="Candara" w:cs="Candara"/>
          <w:color w:val="000000" w:themeColor="text1"/>
          <w:sz w:val="24"/>
          <w:szCs w:val="24"/>
          <w14:textFill>
            <w14:solidFill>
              <w14:schemeClr w14:val="tx1"/>
            </w14:solidFill>
          </w14:textFill>
        </w:rPr>
        <w:t xml:space="preserve"> in digital ecosystems. </w:t>
      </w:r>
    </w:p>
    <w:p w14:paraId="24F31F9A">
      <w:pPr>
        <w:widowControl/>
        <w:spacing w:line="24" w:lineRule="atLeast"/>
        <w:jc w:val="both"/>
        <w:rPr>
          <w:rFonts w:hint="default" w:ascii="Candara" w:hAnsi="Candara" w:cs="Candara"/>
          <w:color w:val="000000" w:themeColor="text1"/>
          <w:sz w:val="24"/>
          <w:szCs w:val="24"/>
          <w14:textFill>
            <w14:solidFill>
              <w14:schemeClr w14:val="tx1"/>
            </w14:solidFill>
          </w14:textFill>
        </w:rPr>
      </w:pPr>
    </w:p>
    <w:p w14:paraId="1E100CF9">
      <w:pPr>
        <w:pStyle w:val="3"/>
        <w:spacing w:before="0" w:line="24" w:lineRule="atLeast"/>
        <w:jc w:val="both"/>
        <w:rPr>
          <w:rFonts w:hint="default" w:ascii="Candara" w:hAnsi="Candara" w:cs="Candara"/>
          <w:b w:val="0"/>
          <w:bCs/>
          <w:color w:val="000000" w:themeColor="text1"/>
          <w:sz w:val="24"/>
          <w:szCs w:val="24"/>
          <w14:textFill>
            <w14:solidFill>
              <w14:schemeClr w14:val="tx1"/>
            </w14:solidFill>
          </w14:textFill>
        </w:rPr>
      </w:pPr>
      <w:r>
        <w:rPr>
          <w:rFonts w:hint="default" w:ascii="Candara" w:hAnsi="Candara" w:cs="Candara"/>
          <w:bCs/>
          <w:color w:val="000000" w:themeColor="text1"/>
          <w:sz w:val="24"/>
          <w:szCs w:val="24"/>
          <w14:textFill>
            <w14:solidFill>
              <w14:schemeClr w14:val="tx1"/>
            </w14:solidFill>
          </w14:textFill>
        </w:rPr>
        <w:t xml:space="preserve">5.12. </w:t>
      </w:r>
      <w:r>
        <w:rPr>
          <w:rFonts w:hint="default" w:ascii="Candara" w:hAnsi="Candara" w:cs="Candara"/>
          <w:bCs/>
          <w:color w:val="000000" w:themeColor="text1"/>
          <w:sz w:val="24"/>
          <w:szCs w:val="24"/>
          <w14:textFill>
            <w14:solidFill>
              <w14:schemeClr w14:val="tx1"/>
            </w14:solidFill>
          </w14:textFill>
        </w:rPr>
        <w:tab/>
      </w:r>
      <w:r>
        <w:rPr>
          <w:rFonts w:hint="default" w:ascii="Candara" w:hAnsi="Candara" w:cs="Candara"/>
          <w:bCs/>
          <w:color w:val="000000" w:themeColor="text1"/>
          <w:sz w:val="24"/>
          <w:szCs w:val="24"/>
          <w14:textFill>
            <w14:solidFill>
              <w14:schemeClr w14:val="tx1"/>
            </w14:solidFill>
          </w14:textFill>
        </w:rPr>
        <w:t>Conclusion of the Systematic Review</w:t>
      </w:r>
    </w:p>
    <w:p w14:paraId="68CE5E82">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 systematic review demonstrates that greenwashing has evolved from a corporate misconduct issue into a complex, multi-layered communication phenomenon deeply embedded in social media ecosystems. The literature consistently highlights that audiences do not passively receive sustainability messages; rather, they actively interpret, negotiate, and sometimes reproduce them.</w:t>
      </w:r>
    </w:p>
    <w:p w14:paraId="500C87F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However, their ability to detect greenwashing is shaped by a combination of visual persuasion, influencer credibility, algorithmic exposure, and social validation mechanisms. While awareness of sustainability issues is increasing globally, the distinction between genuine and performative environmentalism remains blurred in digital environments.</w:t>
      </w:r>
    </w:p>
    <w:p w14:paraId="0BC8769B">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This review establishes a clear justification for further empirical investigation into how audiences—particularly in emerging social media markets—identify, interpret, and respond to greenwashing. It also supports the development of an integrated conceptual framework linking social media interaction, value co-creation, social norms, and influencer mediation in sustainability communication.</w:t>
      </w:r>
    </w:p>
    <w:p w14:paraId="247ADF6B">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8D9CDD0">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Discussion</w:t>
      </w:r>
    </w:p>
    <w:p w14:paraId="76B9520A">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This study critically interrogates the evolving dynamics of greenwashing and genuine sustainability communication within social media ecosystems, revealing that audience interpretation is no longer a passive reception process but an actively negotiated, algorithmically mediated, and socially reinforced practice. The findings challenge linear assumptions in traditional CSR communication literature, which often presuppose that exposure to sustainability information leads to improved consumer understanding or ethical consumption. Instead, the evidence synthesized in this review suggests that sustainability meaning is increasingly unstable, fragmented, and co-produced within digitally networked environments.</w:t>
      </w:r>
    </w:p>
    <w:p w14:paraId="3E8D53A7">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4ECEF79F">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.1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Greenwashing as a Platform-Embedded Communication Logic</w:t>
      </w:r>
    </w:p>
    <w:p w14:paraId="74FE7350">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A key critical insight emerging from this review is that greenwashing should no longer be conceptualized merely as an organizational misrepresentation issue, but rather as a platform-embedded communicative logic. Social media infrastructures privilege visibility, emotional resonance, and aesthetic appeal over informational accuracy, thereby structurally enabling the circulation of superficial sustainability narratives. This finding aligns with recent scholarship arguing that algorithmic curation intensifies the dominance of “engagement-first” content logic, where symbolic environmentalism is rewarded more than substantiated ecological performance (Kapoor et al., 2021; Lim et al., 2022).</w:t>
      </w:r>
    </w:p>
    <w:p w14:paraId="609ABB1F">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From a critical communication perspective, this shifts the locus of responsibility away from individual firms alone and toward the broader platform-capitalism ecosystem, where corporate actors, influencers, and algorithmic systems collectively reproduce sustainability narratives that may or may not reflect environmental reality. Thus, greenwashing becomes less an exception and more a normalized communicative condition within attention-driven digital economies.</w:t>
      </w:r>
    </w:p>
    <w:p w14:paraId="2B09863B">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276F437A">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.2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The Illusion of Authenticity in Influencer-Driven Sustainability</w:t>
      </w:r>
    </w:p>
    <w:p w14:paraId="727C621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 review also highlights a fundamental paradox in influencer-mediated sustainability communication: the construction of authenticity often operates independently of empirical environmental validity. Influencers derive credibility not from expertise or verifiable sustainability knowledge, but from perceived relatability, aesthetic coherence, and narrative consistency (Lou &amp; Yuan, 2019; Audrezet et al., 2020). This creates a performative authenticity regime, where environmental claims gain legitimacy through stylistic and emotional alignment rather than factual substantiation.</w:t>
      </w:r>
    </w:p>
    <w:p w14:paraId="28CB9367">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Critically, this regime produces what can be described as “authenticity without accountability,” wherein audiences are encouraged to trust sustainability messages based on interpersonal identification rather than institutional verification. Such dynamics blur the boundary between advocacy and commodification, allowing commercial actors to embed consumption-oriented messaging within discourses of environmental responsibility. The implication is that influencer culture does not merely mediate greenwashing—it actively aestheticizes it.</w:t>
      </w:r>
    </w:p>
    <w:p w14:paraId="24E28CE5">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2243E2B1">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.3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Audience Skepticism: A Conditional and Uneven Capacity</w:t>
      </w:r>
    </w:p>
    <w:p w14:paraId="215C6E4E">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While existing literature often assumes that increasing environmental awareness enhances greenwashing detection, this review problematizes such linear assumptions. Audience skepticism is shown to be context-dependent, unevenly distributed, and heuristically constrained. Rather than consistently applying critical evaluation, users frequently rely on cognitive shortcuts such as visual cues, engagement metrics, and influencer endorsement signals (Nguyen et al., 2023).</w:t>
      </w:r>
    </w:p>
    <w:p w14:paraId="72005D2E">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This reliance on heuristics reflects the informational overload characteristic of social media environments, where rapid content consumption discourages deep verification. Consequently, detection of greenwashing is not solely a function of knowledge or literacy but is mediated by attention economy constraints and platform design features. Even digitally literate users may misinterpret sustainability signals when confronted with high-frequency, visually persuasive content streams.</w:t>
      </w:r>
    </w:p>
    <w:p w14:paraId="1303AC6B">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These finding challenges rational-choice assumptions in consumer behavior theories and suggests the need to reconceptualize audience agency within digitally constrained cognitive environments.</w:t>
      </w:r>
    </w:p>
    <w:p w14:paraId="0EFA3E58">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313675A9">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.4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Social Norms and Algorithmic Validation as Epistemic Signals</w:t>
      </w:r>
    </w:p>
    <w:p w14:paraId="114C9702">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A particularly significant contribution of this review is the identification of social validation mechanisms as de facto epistemic indicators in sustainability communication. Likes, shares, and comments operate as proxy credibility signals, shaping audience perceptions of environmental authenticity independent of factual accuracy (Kapoor et al., 2021). In this sense, truth-value is increasingly displaced by popularity-value.</w:t>
      </w:r>
    </w:p>
    <w:p w14:paraId="4249ED8F">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This dynamic is further intensified by algorithmic amplification, which prioritizes content that already demonstrates high engagement, thereby reinforcing perceived legitimacy through recursive visibility loops. Such mechanisms produce a self-reinforcing cycle in which sustainability claims gain credibility not through verification but through circulation intensity.</w:t>
      </w:r>
    </w:p>
    <w:p w14:paraId="292B6BE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From a critical standpoint, this represents a shift toward quantified legitimacy, where numerical engagement metrics replace institutional or scientific validation as primary markers of truth. This raises profound concerns about the epistemic integrity of sustainability discourse in digital environments.</w:t>
      </w:r>
    </w:p>
    <w:p w14:paraId="01D663EB">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7617D9F3">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0D022054">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8C3E54C">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.5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Co-Creation of Sustainability Meaning and the Fragmentation of Accountability</w:t>
      </w:r>
    </w:p>
    <w:p w14:paraId="2E404D8F">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 review further reveals that audiences are not merely consumers of sustainability narratives but active co-creators of meaning. Through commenting, sharing, remixing, and reacting, users participate in the construction and stabilization of sustainability interpretations. While this participatory dynamic is often celebrated in digital communication literature, this study highlights its ambivalent implications.</w:t>
      </w:r>
    </w:p>
    <w:p w14:paraId="73EC3339">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On one hand, value co-creation can enhance critical discourse by enabling collective questioning of corporate claims. On the other hand, it can also contribute to the diffusion of accountability, where responsibility for verifying environmental truth becomes distributed and therefore diluted. In such contexts, misinformation or exaggerated sustainability claims may persist unchallenged due to collective ambiguity regarding verification responsibility.</w:t>
      </w:r>
    </w:p>
    <w:p w14:paraId="47760E76">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Thus, co-creation does not inherently guarantee epistemic accuracy; instead, it redistributes interpretive authority in ways that may either challenge or reinforce greenwashing narratives.</w:t>
      </w:r>
    </w:p>
    <w:p w14:paraId="1715AF58">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35F47AB7">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.6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Structural Tensions Between Genuine Sustainability and Performative Environmentalism</w:t>
      </w:r>
    </w:p>
    <w:p w14:paraId="7F149DB6">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 distinction between genuine sustainability and performative environmentalism emerges as increasingly difficult to maintain in practice. The review demonstrates that social media platforms incentivize aesthetic sustainability, where environmentalism is translated into visually appealing lifestyle content rather than systemic ecological transformation (Banerjee, 2020).</w:t>
      </w:r>
    </w:p>
    <w:p w14:paraId="54F34A26">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This aestheticization contributes to a depoliticization of sustainability discourse, where complex environmental issues are reduced to consumable visual narratives. Consequently, sustainability becomes embedded within consumer culture rather than functioning as a challenge to it. The implication is that greenwashing is not merely a distortion of sustainability communication but may represent its dominant contemporary expression in platform-mediated environments.</w:t>
      </w:r>
    </w:p>
    <w:p w14:paraId="1470778A">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39A6938B">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.7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Theoretical Implications</w:t>
      </w:r>
    </w:p>
    <w:p w14:paraId="46770DFE">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The findings of this review necessitate a rethinking of dominant theoretical frameworks in sustainability communication. Signaling theory, while useful in explaining information asymmetry, is insufficient to capture the algorithmic and participatory dynamics that shape contemporary greenwashing detection. Similarly, source credibility theory must be expanded to account for algorithmically mediated credibility formation, where trust is shaped not only by the communicator but also by platform architecture and social validation systems.</w:t>
      </w:r>
    </w:p>
    <w:p w14:paraId="6060A296">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Furthermore, co-creation theory requires critical refinement to address the paradox that participatory engagement can simultaneously enable empowerment and epistemic distortion. Collectively, these insights call for an integrated platform-society theoretical model of sustainability communication.</w:t>
      </w:r>
    </w:p>
    <w:p w14:paraId="764A421C">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9D72269">
      <w:pPr>
        <w:pStyle w:val="21"/>
        <w:spacing w:before="0" w:beforeAutospacing="0" w:after="0" w:afterAutospacing="0" w:line="24" w:lineRule="atLeast"/>
        <w:jc w:val="both"/>
        <w:rPr>
          <w:rFonts w:hint="default" w:ascii="Candara" w:hAnsi="Candara" w:cs="Candara"/>
          <w:b/>
          <w:bCs/>
          <w:color w:val="000000" w:themeColor="text1"/>
          <w14:textFill>
            <w14:solidFill>
              <w14:schemeClr w14:val="tx1"/>
            </w14:solidFill>
          </w14:textFill>
        </w:rPr>
      </w:pPr>
      <w:r>
        <w:rPr>
          <w:rFonts w:hint="default" w:ascii="Candara" w:hAnsi="Candara" w:cs="Candara"/>
          <w:b/>
          <w:bCs/>
          <w:color w:val="000000" w:themeColor="text1"/>
          <w:lang w:val="en-US"/>
          <w14:textFill>
            <w14:solidFill>
              <w14:schemeClr w14:val="tx1"/>
            </w14:solidFill>
          </w14:textFill>
        </w:rPr>
        <w:t>6</w:t>
      </w:r>
      <w:r>
        <w:rPr>
          <w:rFonts w:hint="default" w:ascii="Candara" w:hAnsi="Candara" w:cs="Candara"/>
          <w:b/>
          <w:bCs/>
          <w:color w:val="000000" w:themeColor="text1"/>
          <w14:textFill>
            <w14:solidFill>
              <w14:schemeClr w14:val="tx1"/>
            </w14:solidFill>
          </w14:textFill>
        </w:rPr>
        <w:t xml:space="preserve">.8 </w:t>
      </w:r>
      <w:r>
        <w:rPr>
          <w:rFonts w:hint="default" w:ascii="Candara" w:hAnsi="Candara" w:cs="Candara"/>
          <w:b/>
          <w:bCs/>
          <w:color w:val="000000" w:themeColor="text1"/>
          <w14:textFill>
            <w14:solidFill>
              <w14:schemeClr w14:val="tx1"/>
            </w14:solidFill>
          </w14:textFill>
        </w:rPr>
        <w:tab/>
      </w:r>
      <w:r>
        <w:rPr>
          <w:rFonts w:hint="default" w:ascii="Candara" w:hAnsi="Candara" w:cs="Candara"/>
          <w:b/>
          <w:bCs/>
          <w:color w:val="000000" w:themeColor="text1"/>
          <w14:textFill>
            <w14:solidFill>
              <w14:schemeClr w14:val="tx1"/>
            </w14:solidFill>
          </w14:textFill>
        </w:rPr>
        <w:t>Concluding Critical Insight</w:t>
      </w:r>
    </w:p>
    <w:p w14:paraId="6D4FE1E5">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Ultimately, this review demonstrates that greenwashing in the digital era cannot be understood as a simple misalignment between corporate action and communication. Rather, it is a structurally embedded phenomenon sustained by the interaction of platform algorithms, influencer economies, and audience cognitive constraints. Audience detection of greenwashing is therefore not merely a matter of awareness but is fundamentally shaped by the architecture of visibility, trust, and engagement within social media ecosystems.</w:t>
      </w:r>
    </w:p>
    <w:p w14:paraId="2C9A0089">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In this sense, the challenge of distinguishing between greenwashing and genuine sustainability is not solely epistemological but deeply infrastructural. Addressing it requires moving beyond individual-level interventions toward systemic reconsideration of how digital platforms structure environmental meaning-making itself.</w:t>
      </w:r>
    </w:p>
    <w:p w14:paraId="2B134271">
      <w:pPr>
        <w:pStyle w:val="21"/>
        <w:spacing w:before="0" w:beforeAutospacing="0" w:after="0" w:afterAutospacing="0" w:line="24" w:lineRule="atLeast"/>
        <w:jc w:val="both"/>
        <w:rPr>
          <w:rFonts w:hint="default" w:ascii="Candara" w:hAnsi="Candara" w:cs="Candara"/>
          <w:color w:val="000000" w:themeColor="text1"/>
          <w14:textFill>
            <w14:solidFill>
              <w14:schemeClr w14:val="tx1"/>
            </w14:solidFill>
          </w14:textFill>
        </w:rPr>
      </w:pPr>
    </w:p>
    <w:p w14:paraId="1CE8A525">
      <w:pPr>
        <w:spacing w:line="24" w:lineRule="atLeast"/>
        <w:jc w:val="both"/>
        <w:outlineLvl w:val="2"/>
        <w:rPr>
          <w:rFonts w:hint="default" w:ascii="Candara" w:hAnsi="Candara" w:eastAsia="Times New Roman" w:cs="Candara"/>
          <w:b/>
          <w:bCs/>
          <w:color w:val="000000" w:themeColor="text1"/>
          <w:sz w:val="24"/>
          <w:szCs w:val="24"/>
          <w14:textFill>
            <w14:solidFill>
              <w14:schemeClr w14:val="tx1"/>
            </w14:solidFill>
          </w14:textFill>
        </w:rPr>
      </w:pPr>
      <w:r>
        <w:rPr>
          <w:rFonts w:hint="default" w:ascii="Candara" w:hAnsi="Candara" w:eastAsia="Times New Roman" w:cs="Candara"/>
          <w:b/>
          <w:bCs/>
          <w:color w:val="000000" w:themeColor="text1"/>
          <w:sz w:val="24"/>
          <w:szCs w:val="24"/>
          <w14:textFill>
            <w14:solidFill>
              <w14:schemeClr w14:val="tx1"/>
            </w14:solidFill>
          </w14:textFill>
        </w:rPr>
        <w:t>References</w:t>
      </w:r>
    </w:p>
    <w:p w14:paraId="241449D8">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Adopter. (2026). </w:t>
      </w:r>
      <w:r>
        <w:rPr>
          <w:rFonts w:hint="default" w:ascii="Candara" w:hAnsi="Candara" w:cs="Candara"/>
          <w:i/>
          <w:iCs/>
          <w:color w:val="000000" w:themeColor="text1"/>
          <w14:textFill>
            <w14:solidFill>
              <w14:schemeClr w14:val="tx1"/>
            </w14:solidFill>
          </w14:textFill>
        </w:rPr>
        <w:t>45 greenwashing statistics you need to know in 2026</w:t>
      </w:r>
      <w:r>
        <w:rPr>
          <w:rFonts w:hint="default" w:ascii="Candara" w:hAnsi="Candara" w:cs="Candara"/>
          <w:color w:val="000000" w:themeColor="text1"/>
          <w14:textFill>
            <w14:solidFill>
              <w14:schemeClr w14:val="tx1"/>
            </w14:solidFill>
          </w14:textFill>
        </w:rPr>
        <w:t xml:space="preserve">. Adopter Climate Tech Marketing. </w:t>
      </w:r>
      <w:r>
        <w:rPr>
          <w:rFonts w:hint="default" w:ascii="Candara" w:hAnsi="Candara" w:cs="Candara"/>
        </w:rPr>
        <w:fldChar w:fldCharType="begin"/>
      </w:r>
      <w:r>
        <w:rPr>
          <w:rFonts w:hint="default" w:ascii="Candara" w:hAnsi="Candara" w:cs="Candara"/>
        </w:rPr>
        <w:instrText xml:space="preserve"> HYPERLINK "https://www.google.com/search?q=https://www.adopter.net/knowledge-hub/45-greenwashing-statistics"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https://www.adopter.net/knowledge-hub/45-greenwashing-statistics</w:t>
      </w:r>
      <w:r>
        <w:rPr>
          <w:rStyle w:val="20"/>
          <w:rFonts w:hint="default" w:ascii="Candara" w:hAnsi="Candara" w:cs="Candara"/>
          <w:color w:val="000000" w:themeColor="text1"/>
          <w:u w:val="none"/>
          <w14:textFill>
            <w14:solidFill>
              <w14:schemeClr w14:val="tx1"/>
            </w14:solidFill>
          </w14:textFill>
        </w:rPr>
        <w:fldChar w:fldCharType="end"/>
      </w:r>
    </w:p>
    <w:p w14:paraId="3961AF4C">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AWEB Digital. (2026). </w:t>
      </w:r>
      <w:r>
        <w:rPr>
          <w:rFonts w:hint="default" w:ascii="Candara" w:hAnsi="Candara" w:cs="Candara"/>
          <w:i/>
          <w:iCs/>
          <w:color w:val="000000" w:themeColor="text1"/>
          <w14:textFill>
            <w14:solidFill>
              <w14:schemeClr w14:val="tx1"/>
            </w14:solidFill>
          </w14:textFill>
        </w:rPr>
        <w:t>Sustainable digital marketing strategies 2026: Long-term growth and trust-building</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rPr>
        <w:fldChar w:fldCharType="begin"/>
      </w:r>
      <w:r>
        <w:rPr>
          <w:rFonts w:hint="default" w:ascii="Candara" w:hAnsi="Candara" w:cs="Candara"/>
        </w:rPr>
        <w:instrText xml:space="preserve"> HYPERLINK "https://www.google.com/search?q=https://awebdigital.co/sustainable-digital-marketing-strategies-2026"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https://awebdigital.co/sustainable-digital-marketing-strategies-2026</w:t>
      </w:r>
      <w:r>
        <w:rPr>
          <w:rStyle w:val="20"/>
          <w:rFonts w:hint="default" w:ascii="Candara" w:hAnsi="Candara" w:cs="Candara"/>
          <w:color w:val="000000" w:themeColor="text1"/>
          <w:u w:val="none"/>
          <w14:textFill>
            <w14:solidFill>
              <w14:schemeClr w14:val="tx1"/>
            </w14:solidFill>
          </w14:textFill>
        </w:rPr>
        <w:fldChar w:fldCharType="end"/>
      </w:r>
    </w:p>
    <w:p w14:paraId="738EC98D">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Bladt, J., Nielsen, K., &amp; Hanssen, L. (2024). The moral outrage of greenwashing: A multi-level analysis of brand trust and consumer skepticism. </w:t>
      </w:r>
      <w:r>
        <w:rPr>
          <w:rFonts w:hint="default" w:ascii="Candara" w:hAnsi="Candara" w:cs="Candara"/>
          <w:i/>
          <w:iCs/>
          <w:color w:val="000000" w:themeColor="text1"/>
          <w14:textFill>
            <w14:solidFill>
              <w14:schemeClr w14:val="tx1"/>
            </w14:solidFill>
          </w14:textFill>
        </w:rPr>
        <w:t>Journal of Consumer Ethics</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i/>
          <w:iCs/>
          <w:color w:val="000000" w:themeColor="text1"/>
          <w14:textFill>
            <w14:solidFill>
              <w14:schemeClr w14:val="tx1"/>
            </w14:solidFill>
          </w14:textFill>
        </w:rPr>
        <w:t>12</w:t>
      </w:r>
      <w:r>
        <w:rPr>
          <w:rFonts w:hint="default" w:ascii="Candara" w:hAnsi="Candara" w:cs="Candara"/>
          <w:color w:val="000000" w:themeColor="text1"/>
          <w14:textFill>
            <w14:solidFill>
              <w14:schemeClr w14:val="tx1"/>
            </w14:solidFill>
          </w14:textFill>
        </w:rPr>
        <w:t>(3), 145–162.</w:t>
      </w:r>
    </w:p>
    <w:p w14:paraId="47D72959">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Cse-net. (2025). </w:t>
      </w:r>
      <w:r>
        <w:rPr>
          <w:rFonts w:hint="default" w:ascii="Candara" w:hAnsi="Candara" w:cs="Candara"/>
          <w:i/>
          <w:iCs/>
          <w:color w:val="000000" w:themeColor="text1"/>
          <w14:textFill>
            <w14:solidFill>
              <w14:schemeClr w14:val="tx1"/>
            </w14:solidFill>
          </w14:textFill>
        </w:rPr>
        <w:t>Regulatory trends in environmental marketing: The impact of the DMCCA on corporate accountability</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rPr>
        <w:fldChar w:fldCharType="begin"/>
      </w:r>
      <w:r>
        <w:rPr>
          <w:rFonts w:hint="default" w:ascii="Candara" w:hAnsi="Candara" w:cs="Candara"/>
        </w:rPr>
        <w:instrText xml:space="preserve"> HYPERLINK "https://www.google.com/search?q=https://www.cse-net.org/reports/dmcca-impact-2025"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https://www.cse-net.org/reports/dmcca-impact-2025</w:t>
      </w:r>
      <w:r>
        <w:rPr>
          <w:rStyle w:val="20"/>
          <w:rFonts w:hint="default" w:ascii="Candara" w:hAnsi="Candara" w:cs="Candara"/>
          <w:color w:val="000000" w:themeColor="text1"/>
          <w:u w:val="none"/>
          <w14:textFill>
            <w14:solidFill>
              <w14:schemeClr w14:val="tx1"/>
            </w14:solidFill>
          </w14:textFill>
        </w:rPr>
        <w:fldChar w:fldCharType="end"/>
      </w:r>
    </w:p>
    <w:p w14:paraId="245A1061">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Driftime. (2025). </w:t>
      </w:r>
      <w:r>
        <w:rPr>
          <w:rFonts w:hint="default" w:ascii="Candara" w:hAnsi="Candara" w:eastAsia="Times New Roman" w:cs="Candara"/>
          <w:i/>
          <w:iCs/>
          <w:color w:val="000000" w:themeColor="text1"/>
          <w:sz w:val="24"/>
          <w:szCs w:val="24"/>
          <w14:textFill>
            <w14:solidFill>
              <w14:schemeClr w14:val="tx1"/>
            </w14:solidFill>
          </w14:textFill>
        </w:rPr>
        <w:t>The end of vague claims: How CSRD and digital transparency are reshaping modern branding</w:t>
      </w:r>
      <w:r>
        <w:rPr>
          <w:rFonts w:hint="default" w:ascii="Candara" w:hAnsi="Candara" w:eastAsia="Times New Roman" w:cs="Candara"/>
          <w:color w:val="000000" w:themeColor="text1"/>
          <w:sz w:val="24"/>
          <w:szCs w:val="24"/>
          <w14:textFill>
            <w14:solidFill>
              <w14:schemeClr w14:val="tx1"/>
            </w14:solidFill>
          </w14:textFill>
        </w:rPr>
        <w:t>. Driftime Institute for Sustainable Design.</w:t>
      </w:r>
    </w:p>
    <w:p w14:paraId="2E3312EF">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Duffett, R., &amp; Mxunyelwa, S. (2025). Perceptions of greenwashing and purchase intentions: A model of Gen Z responses to ESG-labeled digital advertising. </w:t>
      </w:r>
      <w:r>
        <w:rPr>
          <w:rFonts w:hint="default" w:ascii="Candara" w:hAnsi="Candara" w:cs="Candara"/>
          <w:i/>
          <w:iCs/>
          <w:color w:val="000000" w:themeColor="text1"/>
          <w14:textFill>
            <w14:solidFill>
              <w14:schemeClr w14:val="tx1"/>
            </w14:solidFill>
          </w14:textFill>
        </w:rPr>
        <w:t>Journal of Risk and Financial Management</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i/>
          <w:iCs/>
          <w:color w:val="000000" w:themeColor="text1"/>
          <w14:textFill>
            <w14:solidFill>
              <w14:schemeClr w14:val="tx1"/>
            </w14:solidFill>
          </w14:textFill>
        </w:rPr>
        <w:t>13</w:t>
      </w:r>
      <w:r>
        <w:rPr>
          <w:rFonts w:hint="default" w:ascii="Candara" w:hAnsi="Candara" w:cs="Candara"/>
          <w:color w:val="000000" w:themeColor="text1"/>
          <w14:textFill>
            <w14:solidFill>
              <w14:schemeClr w14:val="tx1"/>
            </w14:solidFill>
          </w14:textFill>
        </w:rPr>
        <w:t xml:space="preserve">(8), 157. </w:t>
      </w:r>
      <w:r>
        <w:rPr>
          <w:rFonts w:hint="default" w:ascii="Candara" w:hAnsi="Candara" w:cs="Candara"/>
        </w:rPr>
        <w:fldChar w:fldCharType="begin"/>
      </w:r>
      <w:r>
        <w:rPr>
          <w:rFonts w:hint="default" w:ascii="Candara" w:hAnsi="Candara" w:cs="Candara"/>
        </w:rPr>
        <w:instrText xml:space="preserve"> HYPERLINK "https://www.google.com/search?q=https://doi.org/10.3390/jrfm13080157"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https://doi.org/10.3390/jrfm13080157</w:t>
      </w:r>
      <w:r>
        <w:rPr>
          <w:rStyle w:val="20"/>
          <w:rFonts w:hint="default" w:ascii="Candara" w:hAnsi="Candara" w:cs="Candara"/>
          <w:color w:val="000000" w:themeColor="text1"/>
          <w:u w:val="none"/>
          <w14:textFill>
            <w14:solidFill>
              <w14:schemeClr w14:val="tx1"/>
            </w14:solidFill>
          </w14:textFill>
        </w:rPr>
        <w:fldChar w:fldCharType="end"/>
      </w:r>
    </w:p>
    <w:p w14:paraId="786A2F6A">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European Commission. (2023). </w:t>
      </w:r>
      <w:r>
        <w:rPr>
          <w:rFonts w:hint="default" w:ascii="Candara" w:hAnsi="Candara" w:eastAsia="Times New Roman" w:cs="Candara"/>
          <w:i/>
          <w:iCs/>
          <w:color w:val="000000" w:themeColor="text1"/>
          <w:sz w:val="24"/>
          <w:szCs w:val="24"/>
          <w14:textFill>
            <w14:solidFill>
              <w14:schemeClr w14:val="tx1"/>
            </w14:solidFill>
          </w14:textFill>
        </w:rPr>
        <w:t>Screening of websites for ‘greenwashing’: Half of green claims lack evidence</w:t>
      </w:r>
      <w:r>
        <w:rPr>
          <w:rFonts w:hint="default" w:ascii="Candara" w:hAnsi="Candara" w:eastAsia="Times New Roman" w:cs="Candara"/>
          <w:color w:val="000000" w:themeColor="text1"/>
          <w:sz w:val="24"/>
          <w:szCs w:val="24"/>
          <w14:textFill>
            <w14:solidFill>
              <w14:schemeClr w14:val="tx1"/>
            </w14:solidFill>
          </w14:textFill>
        </w:rPr>
        <w:t>. European Commission Press Corner.</w:t>
      </w:r>
    </w:p>
    <w:p w14:paraId="5FEA7FC2">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p>
    <w:p w14:paraId="1CA9F87C">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European Commission. (2025). </w:t>
      </w:r>
      <w:r>
        <w:rPr>
          <w:rFonts w:hint="default" w:ascii="Candara" w:hAnsi="Candara" w:eastAsia="Times New Roman" w:cs="Candara"/>
          <w:i/>
          <w:iCs/>
          <w:color w:val="000000" w:themeColor="text1"/>
          <w:sz w:val="24"/>
          <w:szCs w:val="24"/>
          <w14:textFill>
            <w14:solidFill>
              <w14:schemeClr w14:val="tx1"/>
            </w14:solidFill>
          </w14:textFill>
        </w:rPr>
        <w:t>Guidance on the implementation of the Green Claims Directive: Standardizing environmental communication</w:t>
      </w:r>
      <w:r>
        <w:rPr>
          <w:rFonts w:hint="default" w:ascii="Candara" w:hAnsi="Candara" w:eastAsia="Times New Roman" w:cs="Candara"/>
          <w:color w:val="000000" w:themeColor="text1"/>
          <w:sz w:val="24"/>
          <w:szCs w:val="24"/>
          <w14:textFill>
            <w14:solidFill>
              <w14:schemeClr w14:val="tx1"/>
            </w14:solidFill>
          </w14:textFill>
        </w:rPr>
        <w:t>. Publications Office of the European Union.</w:t>
      </w:r>
    </w:p>
    <w:p w14:paraId="3FAE7401">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Huang, X., Zhang, L., &amp; Liu, Y. (2025). The impact of greenwashing on consumer perceptions: Insights from green perceived value and consumer confusion. </w:t>
      </w:r>
      <w:r>
        <w:rPr>
          <w:rFonts w:hint="default" w:ascii="Candara" w:hAnsi="Candara" w:cs="Candara"/>
          <w:i/>
          <w:iCs/>
          <w:color w:val="000000" w:themeColor="text1"/>
          <w14:textFill>
            <w14:solidFill>
              <w14:schemeClr w14:val="tx1"/>
            </w14:solidFill>
          </w14:textFill>
        </w:rPr>
        <w:t>ASERS Journal of Socio-Economic Research</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i/>
          <w:iCs/>
          <w:color w:val="000000" w:themeColor="text1"/>
          <w14:textFill>
            <w14:solidFill>
              <w14:schemeClr w14:val="tx1"/>
            </w14:solidFill>
          </w14:textFill>
        </w:rPr>
        <w:t>16</w:t>
      </w:r>
      <w:r>
        <w:rPr>
          <w:rFonts w:hint="default" w:ascii="Candara" w:hAnsi="Candara" w:cs="Candara"/>
          <w:color w:val="000000" w:themeColor="text1"/>
          <w14:textFill>
            <w14:solidFill>
              <w14:schemeClr w14:val="tx1"/>
            </w14:solidFill>
          </w14:textFill>
        </w:rPr>
        <w:t>(2), 78–92.</w:t>
      </w:r>
    </w:p>
    <w:p w14:paraId="22A524BB">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IMD Business School. (2026). </w:t>
      </w:r>
      <w:r>
        <w:rPr>
          <w:rFonts w:hint="default" w:ascii="Candara" w:hAnsi="Candara" w:eastAsia="Times New Roman" w:cs="Candara"/>
          <w:i/>
          <w:iCs/>
          <w:color w:val="000000" w:themeColor="text1"/>
          <w:sz w:val="24"/>
          <w:szCs w:val="24"/>
          <w14:textFill>
            <w14:solidFill>
              <w14:schemeClr w14:val="tx1"/>
            </w14:solidFill>
          </w14:textFill>
        </w:rPr>
        <w:t>The sustainable operating system: 2026 global CEO report on ESG integration</w:t>
      </w:r>
      <w:r>
        <w:rPr>
          <w:rFonts w:hint="default" w:ascii="Candara" w:hAnsi="Candara" w:eastAsia="Times New Roman" w:cs="Candara"/>
          <w:color w:val="000000" w:themeColor="text1"/>
          <w:sz w:val="24"/>
          <w:szCs w:val="24"/>
          <w14:textFill>
            <w14:solidFill>
              <w14:schemeClr w14:val="tx1"/>
            </w14:solidFill>
          </w14:textFill>
        </w:rPr>
        <w:t>. IMD Executive Press.</w:t>
      </w:r>
    </w:p>
    <w:p w14:paraId="347ECFA9">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IMD Business School. (2026). </w:t>
      </w:r>
      <w:r>
        <w:rPr>
          <w:rFonts w:hint="default" w:ascii="Candara" w:hAnsi="Candara" w:cs="Candara"/>
          <w:i/>
          <w:iCs/>
          <w:color w:val="000000" w:themeColor="text1"/>
          <w14:textFill>
            <w14:solidFill>
              <w14:schemeClr w14:val="tx1"/>
            </w14:solidFill>
          </w14:textFill>
        </w:rPr>
        <w:t>The sustainable operating system: 2026 global CEO report on ESG integration</w:t>
      </w:r>
      <w:r>
        <w:rPr>
          <w:rFonts w:hint="default" w:ascii="Candara" w:hAnsi="Candara" w:cs="Candara"/>
          <w:color w:val="000000" w:themeColor="text1"/>
          <w14:textFill>
            <w14:solidFill>
              <w14:schemeClr w14:val="tx1"/>
            </w14:solidFill>
          </w14:textFill>
        </w:rPr>
        <w:t>. IMD Executive Press.</w:t>
      </w:r>
    </w:p>
    <w:p w14:paraId="7FF142EF">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Kantar. (2023). </w:t>
      </w:r>
      <w:r>
        <w:rPr>
          <w:rFonts w:hint="default" w:ascii="Candara" w:hAnsi="Candara" w:cs="Candara"/>
          <w:i/>
          <w:iCs/>
          <w:color w:val="000000" w:themeColor="text1"/>
          <w14:textFill>
            <w14:solidFill>
              <w14:schemeClr w14:val="tx1"/>
            </w14:solidFill>
          </w14:textFill>
        </w:rPr>
        <w:t>Sustainability sector index: Who is winning the hearts and minds of eco-conscious consumers?</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rPr>
        <w:fldChar w:fldCharType="begin"/>
      </w:r>
      <w:r>
        <w:rPr>
          <w:rFonts w:hint="default" w:ascii="Candara" w:hAnsi="Candara" w:cs="Candara"/>
        </w:rPr>
        <w:instrText xml:space="preserve"> HYPERLINK "https://www.google.com/search?q=https://www.kantar.com/inspiration/sustainability/sustainability-sector-index-2023"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https://www.kantar.com/inspiration/sustainability/sustainability-sector-index-2023</w:t>
      </w:r>
      <w:r>
        <w:rPr>
          <w:rStyle w:val="20"/>
          <w:rFonts w:hint="default" w:ascii="Candara" w:hAnsi="Candara" w:cs="Candara"/>
          <w:color w:val="000000" w:themeColor="text1"/>
          <w:u w:val="none"/>
          <w14:textFill>
            <w14:solidFill>
              <w14:schemeClr w14:val="tx1"/>
            </w14:solidFill>
          </w14:textFill>
        </w:rPr>
        <w:fldChar w:fldCharType="end"/>
      </w:r>
    </w:p>
    <w:p w14:paraId="65A1C208">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MDPI. (2025). Greenwashing as a barrier to sustainable marketing: A systematic literature review and future research agenda. </w:t>
      </w:r>
      <w:r>
        <w:rPr>
          <w:rFonts w:hint="default" w:ascii="Candara" w:hAnsi="Candara" w:eastAsia="Times New Roman" w:cs="Candara"/>
          <w:i/>
          <w:iCs/>
          <w:color w:val="000000" w:themeColor="text1"/>
          <w:sz w:val="24"/>
          <w:szCs w:val="24"/>
          <w14:textFill>
            <w14:solidFill>
              <w14:schemeClr w14:val="tx1"/>
            </w14:solidFill>
          </w14:textFill>
        </w:rPr>
        <w:t>Sustainability</w:t>
      </w:r>
      <w:r>
        <w:rPr>
          <w:rFonts w:hint="default" w:ascii="Candara" w:hAnsi="Candara" w:eastAsia="Times New Roman" w:cs="Candara"/>
          <w:color w:val="000000" w:themeColor="text1"/>
          <w:sz w:val="24"/>
          <w:szCs w:val="24"/>
          <w14:textFill>
            <w14:solidFill>
              <w14:schemeClr w14:val="tx1"/>
            </w14:solidFill>
          </w14:textFill>
        </w:rPr>
        <w:t xml:space="preserve">, </w:t>
      </w:r>
      <w:r>
        <w:rPr>
          <w:rFonts w:hint="default" w:ascii="Candara" w:hAnsi="Candara" w:eastAsia="Times New Roman" w:cs="Candara"/>
          <w:i/>
          <w:iCs/>
          <w:color w:val="000000" w:themeColor="text1"/>
          <w:sz w:val="24"/>
          <w:szCs w:val="24"/>
          <w14:textFill>
            <w14:solidFill>
              <w14:schemeClr w14:val="tx1"/>
            </w14:solidFill>
          </w14:textFill>
        </w:rPr>
        <w:t>17</w:t>
      </w:r>
      <w:r>
        <w:rPr>
          <w:rFonts w:hint="default" w:ascii="Candara" w:hAnsi="Candara" w:eastAsia="Times New Roman" w:cs="Candara"/>
          <w:color w:val="000000" w:themeColor="text1"/>
          <w:sz w:val="24"/>
          <w:szCs w:val="24"/>
          <w14:textFill>
            <w14:solidFill>
              <w14:schemeClr w14:val="tx1"/>
            </w14:solidFill>
          </w14:textFill>
        </w:rPr>
        <w:t xml:space="preserve">(4), 1102. </w:t>
      </w:r>
      <w:r>
        <w:rPr>
          <w:rFonts w:hint="default" w:ascii="Candara" w:hAnsi="Candara" w:cs="Candara"/>
        </w:rPr>
        <w:fldChar w:fldCharType="begin"/>
      </w:r>
      <w:r>
        <w:rPr>
          <w:rFonts w:hint="default" w:ascii="Candara" w:hAnsi="Candara" w:cs="Candara"/>
        </w:rPr>
        <w:instrText xml:space="preserve"> HYPERLINK "https://www.google.com/search?q=https://doi.org/10.3390/su17041102" \t "_blank" </w:instrText>
      </w:r>
      <w:r>
        <w:rPr>
          <w:rFonts w:hint="default" w:ascii="Candara" w:hAnsi="Candara" w:cs="Candara"/>
        </w:rPr>
        <w:fldChar w:fldCharType="separate"/>
      </w:r>
      <w:r>
        <w:rPr>
          <w:rFonts w:hint="default" w:ascii="Candara" w:hAnsi="Candara" w:eastAsia="Times New Roman" w:cs="Candara"/>
          <w:color w:val="000000" w:themeColor="text1"/>
          <w:sz w:val="24"/>
          <w:szCs w:val="24"/>
          <w14:textFill>
            <w14:solidFill>
              <w14:schemeClr w14:val="tx1"/>
            </w14:solidFill>
          </w14:textFill>
        </w:rPr>
        <w:t>https://doi.org/10.3390/su17041102</w:t>
      </w:r>
      <w:r>
        <w:rPr>
          <w:rFonts w:hint="default" w:ascii="Candara" w:hAnsi="Candara" w:eastAsia="Times New Roman" w:cs="Candara"/>
          <w:color w:val="000000" w:themeColor="text1"/>
          <w:sz w:val="24"/>
          <w:szCs w:val="24"/>
          <w14:textFill>
            <w14:solidFill>
              <w14:schemeClr w14:val="tx1"/>
            </w14:solidFill>
          </w14:textFill>
        </w:rPr>
        <w:fldChar w:fldCharType="end"/>
      </w:r>
    </w:p>
    <w:p w14:paraId="099DACD0">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Milfeld, T., &amp; Pittman, M. (2024). Altercast framing in sustainability advertising: Empowering the consumer through responsibility. </w:t>
      </w:r>
      <w:r>
        <w:rPr>
          <w:rFonts w:hint="default" w:ascii="Candara" w:hAnsi="Candara" w:cs="Candara"/>
          <w:i/>
          <w:iCs/>
          <w:color w:val="000000" w:themeColor="text1"/>
          <w14:textFill>
            <w14:solidFill>
              <w14:schemeClr w14:val="tx1"/>
            </w14:solidFill>
          </w14:textFill>
        </w:rPr>
        <w:t>Journal of Advertising Research</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i/>
          <w:iCs/>
          <w:color w:val="000000" w:themeColor="text1"/>
          <w14:textFill>
            <w14:solidFill>
              <w14:schemeClr w14:val="tx1"/>
            </w14:solidFill>
          </w14:textFill>
        </w:rPr>
        <w:t>64</w:t>
      </w:r>
      <w:r>
        <w:rPr>
          <w:rFonts w:hint="default" w:ascii="Candara" w:hAnsi="Candara" w:cs="Candara"/>
          <w:color w:val="000000" w:themeColor="text1"/>
          <w14:textFill>
            <w14:solidFill>
              <w14:schemeClr w14:val="tx1"/>
            </w14:solidFill>
          </w14:textFill>
        </w:rPr>
        <w:t xml:space="preserve">(1), 12–28. </w:t>
      </w:r>
      <w:r>
        <w:rPr>
          <w:rFonts w:hint="default" w:ascii="Candara" w:hAnsi="Candara" w:cs="Candara"/>
        </w:rPr>
        <w:fldChar w:fldCharType="begin"/>
      </w:r>
      <w:r>
        <w:rPr>
          <w:rFonts w:hint="default" w:ascii="Candara" w:hAnsi="Candara" w:cs="Candara"/>
        </w:rPr>
        <w:instrText xml:space="preserve"> HYPERLINK "https://www.google.com/search?q=https://doi.org/10.2501/JAR-2024-001"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https://doi.org/10.2501/JAR-2024-001</w:t>
      </w:r>
      <w:r>
        <w:rPr>
          <w:rStyle w:val="20"/>
          <w:rFonts w:hint="default" w:ascii="Candara" w:hAnsi="Candara" w:cs="Candara"/>
          <w:color w:val="000000" w:themeColor="text1"/>
          <w:u w:val="none"/>
          <w14:textFill>
            <w14:solidFill>
              <w14:schemeClr w14:val="tx1"/>
            </w14:solidFill>
          </w14:textFill>
        </w:rPr>
        <w:fldChar w:fldCharType="end"/>
      </w:r>
    </w:p>
    <w:p w14:paraId="00FB5D5D">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Nisa, C. F., Belanger, J. J., &amp; Schumpe, B. M. (2022). The psychology of greenwashing: A conceptual framework. </w:t>
      </w:r>
      <w:r>
        <w:rPr>
          <w:rFonts w:hint="default" w:ascii="Candara" w:hAnsi="Candara" w:eastAsia="Times New Roman" w:cs="Candara"/>
          <w:i/>
          <w:iCs/>
          <w:color w:val="000000" w:themeColor="text1"/>
          <w:sz w:val="24"/>
          <w:szCs w:val="24"/>
          <w14:textFill>
            <w14:solidFill>
              <w14:schemeClr w14:val="tx1"/>
            </w14:solidFill>
          </w14:textFill>
        </w:rPr>
        <w:t>Nature Climate Change</w:t>
      </w:r>
      <w:r>
        <w:rPr>
          <w:rFonts w:hint="default" w:ascii="Candara" w:hAnsi="Candara" w:eastAsia="Times New Roman" w:cs="Candara"/>
          <w:color w:val="000000" w:themeColor="text1"/>
          <w:sz w:val="24"/>
          <w:szCs w:val="24"/>
          <w14:textFill>
            <w14:solidFill>
              <w14:schemeClr w14:val="tx1"/>
            </w14:solidFill>
          </w14:textFill>
        </w:rPr>
        <w:t xml:space="preserve">, </w:t>
      </w:r>
      <w:r>
        <w:rPr>
          <w:rFonts w:hint="default" w:ascii="Candara" w:hAnsi="Candara" w:eastAsia="Times New Roman" w:cs="Candara"/>
          <w:i/>
          <w:iCs/>
          <w:color w:val="000000" w:themeColor="text1"/>
          <w:sz w:val="24"/>
          <w:szCs w:val="24"/>
          <w14:textFill>
            <w14:solidFill>
              <w14:schemeClr w14:val="tx1"/>
            </w14:solidFill>
          </w14:textFill>
        </w:rPr>
        <w:t>12</w:t>
      </w:r>
      <w:r>
        <w:rPr>
          <w:rFonts w:hint="default" w:ascii="Candara" w:hAnsi="Candara" w:eastAsia="Times New Roman" w:cs="Candara"/>
          <w:color w:val="000000" w:themeColor="text1"/>
          <w:sz w:val="24"/>
          <w:szCs w:val="24"/>
          <w14:textFill>
            <w14:solidFill>
              <w14:schemeClr w14:val="tx1"/>
            </w14:solidFill>
          </w14:textFill>
        </w:rPr>
        <w:t>(4), 311–313.</w:t>
      </w:r>
    </w:p>
    <w:p w14:paraId="46397C4C">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R Discovery. (2025). </w:t>
      </w:r>
      <w:r>
        <w:rPr>
          <w:rFonts w:hint="default" w:ascii="Candara" w:hAnsi="Candara" w:cs="Candara"/>
          <w:i/>
          <w:iCs/>
          <w:color w:val="000000" w:themeColor="text1"/>
          <w14:textFill>
            <w14:solidFill>
              <w14:schemeClr w14:val="tx1"/>
            </w14:solidFill>
          </w14:textFill>
        </w:rPr>
        <w:t>The intersection of green AI, digital advertising, and corporate sustainability: A systematic review</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rPr>
        <w:fldChar w:fldCharType="begin"/>
      </w:r>
      <w:r>
        <w:rPr>
          <w:rFonts w:hint="default" w:ascii="Candara" w:hAnsi="Candara" w:cs="Candara"/>
        </w:rPr>
        <w:instrText xml:space="preserve"> HYPERLINK "https://www.google.com/search?q=https://discovery.researcher.life/article/the-intersection-of-green-ai-2025"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https://discovery.researcher.life/article/the-intersection-of-green-ai-2025</w:t>
      </w:r>
      <w:r>
        <w:rPr>
          <w:rStyle w:val="20"/>
          <w:rFonts w:hint="default" w:ascii="Candara" w:hAnsi="Candara" w:cs="Candara"/>
          <w:color w:val="000000" w:themeColor="text1"/>
          <w:u w:val="none"/>
          <w14:textFill>
            <w14:solidFill>
              <w14:schemeClr w14:val="tx1"/>
            </w14:solidFill>
          </w14:textFill>
        </w:rPr>
        <w:fldChar w:fldCharType="end"/>
      </w:r>
    </w:p>
    <w:p w14:paraId="26623C57">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RepRisk. (2024). </w:t>
      </w:r>
      <w:r>
        <w:rPr>
          <w:rFonts w:hint="default" w:ascii="Candara" w:hAnsi="Candara" w:cs="Candara"/>
          <w:i/>
          <w:iCs/>
          <w:color w:val="000000" w:themeColor="text1"/>
          <w14:textFill>
            <w14:solidFill>
              <w14:schemeClr w14:val="tx1"/>
            </w14:solidFill>
          </w14:textFill>
        </w:rPr>
        <w:t>Greenwashing report 2024: Global trends and sectoral insights</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rPr>
        <w:fldChar w:fldCharType="begin"/>
      </w:r>
      <w:r>
        <w:rPr>
          <w:rFonts w:hint="default" w:ascii="Candara" w:hAnsi="Candara" w:cs="Candara"/>
        </w:rPr>
        <w:instrText xml:space="preserve"> HYPERLINK "https://www.google.com/search?q=https://www.reprisk.com/news-and-media/reports/greenwashing-2024"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https://www.reprisk.com/news-and-media/reports/greenwashing-2024</w:t>
      </w:r>
      <w:r>
        <w:rPr>
          <w:rStyle w:val="20"/>
          <w:rFonts w:hint="default" w:ascii="Candara" w:hAnsi="Candara" w:cs="Candara"/>
          <w:color w:val="000000" w:themeColor="text1"/>
          <w:u w:val="none"/>
          <w14:textFill>
            <w14:solidFill>
              <w14:schemeClr w14:val="tx1"/>
            </w14:solidFill>
          </w14:textFill>
        </w:rPr>
        <w:fldChar w:fldCharType="end"/>
      </w:r>
    </w:p>
    <w:p w14:paraId="21B1948C">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ResearchGate. (2026). </w:t>
      </w:r>
      <w:r>
        <w:rPr>
          <w:rFonts w:hint="default" w:ascii="Candara" w:hAnsi="Candara" w:eastAsia="Times New Roman" w:cs="Candara"/>
          <w:i/>
          <w:iCs/>
          <w:color w:val="000000" w:themeColor="text1"/>
          <w:sz w:val="24"/>
          <w:szCs w:val="24"/>
          <w14:textFill>
            <w14:solidFill>
              <w14:schemeClr w14:val="tx1"/>
            </w14:solidFill>
          </w14:textFill>
        </w:rPr>
        <w:t>Algorithmic deception: AI’s role in modern greenwashing and its impact on consumer purchase intentions</w:t>
      </w:r>
      <w:r>
        <w:rPr>
          <w:rFonts w:hint="default" w:ascii="Candara" w:hAnsi="Candara" w:eastAsia="Times New Roman" w:cs="Candara"/>
          <w:color w:val="000000" w:themeColor="text1"/>
          <w:sz w:val="24"/>
          <w:szCs w:val="24"/>
          <w14:textFill>
            <w14:solidFill>
              <w14:schemeClr w14:val="tx1"/>
            </w14:solidFill>
          </w14:textFill>
        </w:rPr>
        <w:t xml:space="preserve">. </w:t>
      </w:r>
      <w:r>
        <w:rPr>
          <w:rFonts w:hint="default" w:ascii="Candara" w:hAnsi="Candara" w:cs="Candara"/>
        </w:rPr>
        <w:fldChar w:fldCharType="begin"/>
      </w:r>
      <w:r>
        <w:rPr>
          <w:rFonts w:hint="default" w:ascii="Candara" w:hAnsi="Candara" w:cs="Candara"/>
        </w:rPr>
        <w:instrText xml:space="preserve"> HYPERLINK "https://www.google.com/search?q=https://www.researchgate.net/publication/389123456_AI_Greenwashing" \t "_blank" </w:instrText>
      </w:r>
      <w:r>
        <w:rPr>
          <w:rFonts w:hint="default" w:ascii="Candara" w:hAnsi="Candara" w:cs="Candara"/>
        </w:rPr>
        <w:fldChar w:fldCharType="separate"/>
      </w:r>
      <w:r>
        <w:rPr>
          <w:rFonts w:hint="default" w:ascii="Candara" w:hAnsi="Candara" w:eastAsia="Times New Roman" w:cs="Candara"/>
          <w:color w:val="000000" w:themeColor="text1"/>
          <w:sz w:val="24"/>
          <w:szCs w:val="24"/>
          <w14:textFill>
            <w14:solidFill>
              <w14:schemeClr w14:val="tx1"/>
            </w14:solidFill>
          </w14:textFill>
        </w:rPr>
        <w:t>https://www.researchgate.net/publication/389123456_AI_Greenwashing</w:t>
      </w:r>
      <w:r>
        <w:rPr>
          <w:rFonts w:hint="default" w:ascii="Candara" w:hAnsi="Candara" w:eastAsia="Times New Roman" w:cs="Candara"/>
          <w:color w:val="000000" w:themeColor="text1"/>
          <w:sz w:val="24"/>
          <w:szCs w:val="24"/>
          <w14:textFill>
            <w14:solidFill>
              <w14:schemeClr w14:val="tx1"/>
            </w14:solidFill>
          </w14:textFill>
        </w:rPr>
        <w:fldChar w:fldCharType="end"/>
      </w:r>
    </w:p>
    <w:p w14:paraId="349C8884">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Sajid, M., Ahmed, T., &amp; Khan, S. (2024). Does greenwashing dim green actions? Examining consumer intentions through the lens of signaling theory. </w:t>
      </w:r>
      <w:r>
        <w:rPr>
          <w:rFonts w:hint="default" w:ascii="Candara" w:hAnsi="Candara" w:eastAsia="Times New Roman" w:cs="Candara"/>
          <w:i/>
          <w:iCs/>
          <w:color w:val="000000" w:themeColor="text1"/>
          <w:sz w:val="24"/>
          <w:szCs w:val="24"/>
          <w14:textFill>
            <w14:solidFill>
              <w14:schemeClr w14:val="tx1"/>
            </w14:solidFill>
          </w14:textFill>
        </w:rPr>
        <w:t>Journal of Business Research</w:t>
      </w:r>
      <w:r>
        <w:rPr>
          <w:rFonts w:hint="default" w:ascii="Candara" w:hAnsi="Candara" w:eastAsia="Times New Roman" w:cs="Candara"/>
          <w:color w:val="000000" w:themeColor="text1"/>
          <w:sz w:val="24"/>
          <w:szCs w:val="24"/>
          <w14:textFill>
            <w14:solidFill>
              <w14:schemeClr w14:val="tx1"/>
            </w14:solidFill>
          </w14:textFill>
        </w:rPr>
        <w:t xml:space="preserve">, </w:t>
      </w:r>
      <w:r>
        <w:rPr>
          <w:rFonts w:hint="default" w:ascii="Candara" w:hAnsi="Candara" w:eastAsia="Times New Roman" w:cs="Candara"/>
          <w:i/>
          <w:iCs/>
          <w:color w:val="000000" w:themeColor="text1"/>
          <w:sz w:val="24"/>
          <w:szCs w:val="24"/>
          <w14:textFill>
            <w14:solidFill>
              <w14:schemeClr w14:val="tx1"/>
            </w14:solidFill>
          </w14:textFill>
        </w:rPr>
        <w:t>158</w:t>
      </w:r>
      <w:r>
        <w:rPr>
          <w:rFonts w:hint="default" w:ascii="Candara" w:hAnsi="Candara" w:eastAsia="Times New Roman" w:cs="Candara"/>
          <w:color w:val="000000" w:themeColor="text1"/>
          <w:sz w:val="24"/>
          <w:szCs w:val="24"/>
          <w14:textFill>
            <w14:solidFill>
              <w14:schemeClr w14:val="tx1"/>
            </w14:solidFill>
          </w14:textFill>
        </w:rPr>
        <w:t xml:space="preserve">, Article 113678. </w:t>
      </w:r>
      <w:r>
        <w:rPr>
          <w:rFonts w:hint="default" w:ascii="Candara" w:hAnsi="Candara" w:cs="Candara"/>
        </w:rPr>
        <w:fldChar w:fldCharType="begin"/>
      </w:r>
      <w:r>
        <w:rPr>
          <w:rFonts w:hint="default" w:ascii="Candara" w:hAnsi="Candara" w:cs="Candara"/>
        </w:rPr>
        <w:instrText xml:space="preserve"> HYPERLINK "https://www.google.com/search?q=https://doi.org/10.1016/j.jbusres.2024.113678" \t "_blank" </w:instrText>
      </w:r>
      <w:r>
        <w:rPr>
          <w:rFonts w:hint="default" w:ascii="Candara" w:hAnsi="Candara" w:cs="Candara"/>
        </w:rPr>
        <w:fldChar w:fldCharType="separate"/>
      </w:r>
      <w:r>
        <w:rPr>
          <w:rFonts w:hint="default" w:ascii="Candara" w:hAnsi="Candara" w:eastAsia="Times New Roman" w:cs="Candara"/>
          <w:color w:val="000000" w:themeColor="text1"/>
          <w:sz w:val="24"/>
          <w:szCs w:val="24"/>
          <w14:textFill>
            <w14:solidFill>
              <w14:schemeClr w14:val="tx1"/>
            </w14:solidFill>
          </w14:textFill>
        </w:rPr>
        <w:t>https://doi.org/10.1016/j.jbusres.2024.113678</w:t>
      </w:r>
      <w:r>
        <w:rPr>
          <w:rFonts w:hint="default" w:ascii="Candara" w:hAnsi="Candara" w:eastAsia="Times New Roman" w:cs="Candara"/>
          <w:color w:val="000000" w:themeColor="text1"/>
          <w:sz w:val="24"/>
          <w:szCs w:val="24"/>
          <w14:textFill>
            <w14:solidFill>
              <w14:schemeClr w14:val="tx1"/>
            </w14:solidFill>
          </w14:textFill>
        </w:rPr>
        <w:fldChar w:fldCharType="end"/>
      </w:r>
    </w:p>
    <w:p w14:paraId="742DF8A1">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Statista Research Department. (2025). </w:t>
      </w:r>
      <w:r>
        <w:rPr>
          <w:rFonts w:hint="default" w:ascii="Candara" w:hAnsi="Candara" w:cs="Candara"/>
          <w:i/>
          <w:iCs/>
          <w:color w:val="000000" w:themeColor="text1"/>
          <w14:textFill>
            <w14:solidFill>
              <w14:schemeClr w14:val="tx1"/>
            </w14:solidFill>
          </w14:textFill>
        </w:rPr>
        <w:t>Consumer sustainability concerns in France, Germany, and Indonesia: 2025 survey results</w:t>
      </w:r>
      <w:r>
        <w:rPr>
          <w:rFonts w:hint="default" w:ascii="Candara" w:hAnsi="Candara" w:cs="Candara"/>
          <w:color w:val="000000" w:themeColor="text1"/>
          <w14:textFill>
            <w14:solidFill>
              <w14:schemeClr w14:val="tx1"/>
            </w14:solidFill>
          </w14:textFill>
        </w:rPr>
        <w:t>. Statista.</w:t>
      </w:r>
    </w:p>
    <w:p w14:paraId="22A84009">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Tarabieh, S. M. (2021). The impact of greenwashing on consumer trust and purchase intention. </w:t>
      </w:r>
      <w:r>
        <w:rPr>
          <w:rFonts w:hint="default" w:ascii="Candara" w:hAnsi="Candara" w:eastAsia="Times New Roman" w:cs="Candara"/>
          <w:i/>
          <w:iCs/>
          <w:color w:val="000000" w:themeColor="text1"/>
          <w:sz w:val="24"/>
          <w:szCs w:val="24"/>
          <w14:textFill>
            <w14:solidFill>
              <w14:schemeClr w14:val="tx1"/>
            </w14:solidFill>
          </w14:textFill>
        </w:rPr>
        <w:t>Journal of Theoretical and Applied Information Technology</w:t>
      </w:r>
      <w:r>
        <w:rPr>
          <w:rFonts w:hint="default" w:ascii="Candara" w:hAnsi="Candara" w:eastAsia="Times New Roman" w:cs="Candara"/>
          <w:color w:val="000000" w:themeColor="text1"/>
          <w:sz w:val="24"/>
          <w:szCs w:val="24"/>
          <w14:textFill>
            <w14:solidFill>
              <w14:schemeClr w14:val="tx1"/>
            </w14:solidFill>
          </w14:textFill>
        </w:rPr>
        <w:t xml:space="preserve">, </w:t>
      </w:r>
      <w:r>
        <w:rPr>
          <w:rFonts w:hint="default" w:ascii="Candara" w:hAnsi="Candara" w:eastAsia="Times New Roman" w:cs="Candara"/>
          <w:i/>
          <w:iCs/>
          <w:color w:val="000000" w:themeColor="text1"/>
          <w:sz w:val="24"/>
          <w:szCs w:val="24"/>
          <w14:textFill>
            <w14:solidFill>
              <w14:schemeClr w14:val="tx1"/>
            </w14:solidFill>
          </w14:textFill>
        </w:rPr>
        <w:t>99</w:t>
      </w:r>
      <w:r>
        <w:rPr>
          <w:rFonts w:hint="default" w:ascii="Candara" w:hAnsi="Candara" w:eastAsia="Times New Roman" w:cs="Candara"/>
          <w:color w:val="000000" w:themeColor="text1"/>
          <w:sz w:val="24"/>
          <w:szCs w:val="24"/>
          <w14:textFill>
            <w14:solidFill>
              <w14:schemeClr w14:val="tx1"/>
            </w14:solidFill>
          </w14:textFill>
        </w:rPr>
        <w:t>(11), 2561–2572.</w:t>
      </w:r>
    </w:p>
    <w:p w14:paraId="64C32AFF">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p>
    <w:p w14:paraId="2BAD6360">
      <w:pPr>
        <w:spacing w:line="24" w:lineRule="atLeast"/>
        <w:ind w:left="540" w:hanging="540"/>
        <w:jc w:val="both"/>
        <w:rPr>
          <w:rFonts w:hint="default" w:ascii="Candara" w:hAnsi="Candara" w:eastAsia="Times New Roman" w:cs="Candara"/>
          <w:color w:val="000000" w:themeColor="text1"/>
          <w:sz w:val="24"/>
          <w:szCs w:val="24"/>
          <w14:textFill>
            <w14:solidFill>
              <w14:schemeClr w14:val="tx1"/>
            </w14:solidFill>
          </w14:textFill>
        </w:rPr>
      </w:pPr>
      <w:r>
        <w:rPr>
          <w:rFonts w:hint="default" w:ascii="Candara" w:hAnsi="Candara" w:eastAsia="Times New Roman" w:cs="Candara"/>
          <w:color w:val="000000" w:themeColor="text1"/>
          <w:sz w:val="24"/>
          <w:szCs w:val="24"/>
          <w14:textFill>
            <w14:solidFill>
              <w14:schemeClr w14:val="tx1"/>
            </w14:solidFill>
          </w14:textFill>
        </w:rPr>
        <w:t xml:space="preserve">Timmons, S., Lavin, C., &amp; Murphy, E. (2024). The spillover effect of green skepticism: Why deceptive advertising undermines the sustainable market. </w:t>
      </w:r>
      <w:r>
        <w:rPr>
          <w:rFonts w:hint="default" w:ascii="Candara" w:hAnsi="Candara" w:eastAsia="Times New Roman" w:cs="Candara"/>
          <w:i/>
          <w:iCs/>
          <w:color w:val="000000" w:themeColor="text1"/>
          <w:sz w:val="24"/>
          <w:szCs w:val="24"/>
          <w14:textFill>
            <w14:solidFill>
              <w14:schemeClr w14:val="tx1"/>
            </w14:solidFill>
          </w14:textFill>
        </w:rPr>
        <w:t>Environmental Communication Quarterly</w:t>
      </w:r>
      <w:r>
        <w:rPr>
          <w:rFonts w:hint="default" w:ascii="Candara" w:hAnsi="Candara" w:eastAsia="Times New Roman" w:cs="Candara"/>
          <w:color w:val="000000" w:themeColor="text1"/>
          <w:sz w:val="24"/>
          <w:szCs w:val="24"/>
          <w14:textFill>
            <w14:solidFill>
              <w14:schemeClr w14:val="tx1"/>
            </w14:solidFill>
          </w14:textFill>
        </w:rPr>
        <w:t xml:space="preserve">, </w:t>
      </w:r>
      <w:r>
        <w:rPr>
          <w:rFonts w:hint="default" w:ascii="Candara" w:hAnsi="Candara" w:eastAsia="Times New Roman" w:cs="Candara"/>
          <w:i/>
          <w:iCs/>
          <w:color w:val="000000" w:themeColor="text1"/>
          <w:sz w:val="24"/>
          <w:szCs w:val="24"/>
          <w14:textFill>
            <w14:solidFill>
              <w14:schemeClr w14:val="tx1"/>
            </w14:solidFill>
          </w14:textFill>
        </w:rPr>
        <w:t>9</w:t>
      </w:r>
      <w:r>
        <w:rPr>
          <w:rFonts w:hint="default" w:ascii="Candara" w:hAnsi="Candara" w:eastAsia="Times New Roman" w:cs="Candara"/>
          <w:color w:val="000000" w:themeColor="text1"/>
          <w:sz w:val="24"/>
          <w:szCs w:val="24"/>
          <w14:textFill>
            <w14:solidFill>
              <w14:schemeClr w14:val="tx1"/>
            </w14:solidFill>
          </w14:textFill>
        </w:rPr>
        <w:t>(2), 88–104.</w:t>
      </w:r>
    </w:p>
    <w:p w14:paraId="35CA2601">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 xml:space="preserve">Wang, L., &amp; Wang, Y. (2023). Two-sided messaging and the reduction of greenwashing perceptions: An experimental study. </w:t>
      </w:r>
      <w:r>
        <w:rPr>
          <w:rFonts w:hint="default" w:ascii="Candara" w:hAnsi="Candara" w:cs="Candara"/>
          <w:i/>
          <w:iCs/>
          <w:color w:val="000000" w:themeColor="text1"/>
          <w14:textFill>
            <w14:solidFill>
              <w14:schemeClr w14:val="tx1"/>
            </w14:solidFill>
          </w14:textFill>
        </w:rPr>
        <w:t>Global Environmental Change</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i/>
          <w:iCs/>
          <w:color w:val="000000" w:themeColor="text1"/>
          <w14:textFill>
            <w14:solidFill>
              <w14:schemeClr w14:val="tx1"/>
            </w14:solidFill>
          </w14:textFill>
        </w:rPr>
        <w:t>78</w:t>
      </w:r>
      <w:r>
        <w:rPr>
          <w:rFonts w:hint="default" w:ascii="Candara" w:hAnsi="Candara" w:cs="Candara"/>
          <w:color w:val="000000" w:themeColor="text1"/>
          <w14:textFill>
            <w14:solidFill>
              <w14:schemeClr w14:val="tx1"/>
            </w14:solidFill>
          </w14:textFill>
        </w:rPr>
        <w:t xml:space="preserve">, Article 102634. </w:t>
      </w:r>
      <w:r>
        <w:rPr>
          <w:rFonts w:hint="default" w:ascii="Candara" w:hAnsi="Candara" w:cs="Candara"/>
        </w:rPr>
        <w:fldChar w:fldCharType="begin"/>
      </w:r>
      <w:r>
        <w:rPr>
          <w:rFonts w:hint="default" w:ascii="Candara" w:hAnsi="Candara" w:cs="Candara"/>
        </w:rPr>
        <w:instrText xml:space="preserve"> HYPERLINK "https://www.google.com/search?q=https://doi.org/10.1016/j.gloenvcha.2023.102634" \t "_blank" </w:instrText>
      </w:r>
      <w:r>
        <w:rPr>
          <w:rFonts w:hint="default" w:ascii="Candara" w:hAnsi="Candara" w:cs="Candara"/>
        </w:rPr>
        <w:fldChar w:fldCharType="separate"/>
      </w:r>
      <w:r>
        <w:rPr>
          <w:rStyle w:val="20"/>
          <w:rFonts w:hint="default" w:ascii="Candara" w:hAnsi="Candara" w:cs="Candara"/>
          <w:color w:val="000000" w:themeColor="text1"/>
          <w:u w:val="none"/>
          <w14:textFill>
            <w14:solidFill>
              <w14:schemeClr w14:val="tx1"/>
            </w14:solidFill>
          </w14:textFill>
        </w:rPr>
        <w:t>https://doi.org/10.1016/j.gloenvcha.2023.102634</w:t>
      </w:r>
      <w:r>
        <w:rPr>
          <w:rStyle w:val="20"/>
          <w:rFonts w:hint="default" w:ascii="Candara" w:hAnsi="Candara" w:cs="Candara"/>
          <w:color w:val="000000" w:themeColor="text1"/>
          <w:u w:val="none"/>
          <w14:textFill>
            <w14:solidFill>
              <w14:schemeClr w14:val="tx1"/>
            </w14:solidFill>
          </w14:textFill>
        </w:rPr>
        <w:fldChar w:fldCharType="end"/>
      </w:r>
    </w:p>
    <w:p w14:paraId="2720BCD2">
      <w:pPr>
        <w:pStyle w:val="21"/>
        <w:spacing w:before="0" w:beforeAutospacing="0" w:after="0" w:afterAutospacing="0" w:line="24" w:lineRule="atLeast"/>
        <w:ind w:left="540" w:hanging="540"/>
        <w:jc w:val="both"/>
        <w:rPr>
          <w:rFonts w:hint="default" w:ascii="Candara" w:hAnsi="Candara" w:cs="Candara"/>
          <w:color w:val="000000" w:themeColor="text1"/>
          <w14:textFill>
            <w14:solidFill>
              <w14:schemeClr w14:val="tx1"/>
            </w14:solidFill>
          </w14:textFill>
        </w:rPr>
      </w:pPr>
      <w:r>
        <w:rPr>
          <w:rFonts w:hint="default" w:ascii="Candara" w:hAnsi="Candara" w:cs="Candara"/>
          <w:color w:val="000000" w:themeColor="text1"/>
          <w14:textFill>
            <w14:solidFill>
              <w14:schemeClr w14:val="tx1"/>
            </w14:solidFill>
          </w14:textFill>
        </w:rPr>
        <w:t>Zio</w:t>
      </w:r>
      <w:r>
        <w:rPr>
          <w:rFonts w:hint="default" w:ascii="Candara" w:hAnsi="Candara" w:cs="Candara"/>
          <w:color w:val="000000" w:themeColor="text1"/>
          <w14:textFill>
            <w14:solidFill>
              <w14:schemeClr w14:val="tx1"/>
            </w14:solidFill>
          </w14:textFill>
        </w:rPr>
        <w:t>ł</w:t>
      </w:r>
      <w:r>
        <w:rPr>
          <w:rFonts w:hint="default" w:ascii="Candara" w:hAnsi="Candara" w:cs="Candara"/>
          <w:color w:val="000000" w:themeColor="text1"/>
          <w14:textFill>
            <w14:solidFill>
              <w14:schemeClr w14:val="tx1"/>
            </w14:solidFill>
          </w14:textFill>
        </w:rPr>
        <w:t xml:space="preserve">o, M., Filipiak, B. Z., &amp; Bak, I. (2024). Symbolic vs. substantive: The erosion of trust in the green financial market. </w:t>
      </w:r>
      <w:r>
        <w:rPr>
          <w:rFonts w:hint="default" w:ascii="Candara" w:hAnsi="Candara" w:cs="Candara"/>
          <w:i/>
          <w:iCs/>
          <w:color w:val="000000" w:themeColor="text1"/>
          <w14:textFill>
            <w14:solidFill>
              <w14:schemeClr w14:val="tx1"/>
            </w14:solidFill>
          </w14:textFill>
        </w:rPr>
        <w:t>Finance and Sustainability Journal</w:t>
      </w:r>
      <w:r>
        <w:rPr>
          <w:rFonts w:hint="default" w:ascii="Candara" w:hAnsi="Candara" w:cs="Candara"/>
          <w:color w:val="000000" w:themeColor="text1"/>
          <w14:textFill>
            <w14:solidFill>
              <w14:schemeClr w14:val="tx1"/>
            </w14:solidFill>
          </w14:textFill>
        </w:rPr>
        <w:t xml:space="preserve">, </w:t>
      </w:r>
      <w:r>
        <w:rPr>
          <w:rFonts w:hint="default" w:ascii="Candara" w:hAnsi="Candara" w:cs="Candara"/>
          <w:i/>
          <w:iCs/>
          <w:color w:val="000000" w:themeColor="text1"/>
          <w14:textFill>
            <w14:solidFill>
              <w14:schemeClr w14:val="tx1"/>
            </w14:solidFill>
          </w14:textFill>
        </w:rPr>
        <w:t>11</w:t>
      </w:r>
      <w:r>
        <w:rPr>
          <w:rFonts w:hint="default" w:ascii="Candara" w:hAnsi="Candara" w:cs="Candara"/>
          <w:color w:val="000000" w:themeColor="text1"/>
          <w14:textFill>
            <w14:solidFill>
              <w14:schemeClr w14:val="tx1"/>
            </w14:solidFill>
          </w14:textFill>
        </w:rPr>
        <w:t>(1), 34–56.</w:t>
      </w:r>
    </w:p>
    <w:p w14:paraId="2DF89091">
      <w:pPr>
        <w:spacing w:line="24" w:lineRule="atLeast"/>
        <w:jc w:val="both"/>
        <w:rPr>
          <w:rFonts w:hint="default" w:ascii="Candara" w:hAnsi="Candara" w:cs="Candara"/>
          <w:color w:val="000000" w:themeColor="text1"/>
          <w:sz w:val="24"/>
          <w:szCs w:val="24"/>
          <w14:textFill>
            <w14:solidFill>
              <w14:schemeClr w14:val="tx1"/>
            </w14:solidFill>
          </w14:textFill>
        </w:rPr>
      </w:pPr>
    </w:p>
    <w:p w14:paraId="7C53370C">
      <w:pPr>
        <w:pStyle w:val="21"/>
        <w:spacing w:before="0" w:beforeAutospacing="0" w:after="0" w:afterAutospacing="0"/>
        <w:jc w:val="both"/>
        <w:rPr>
          <w:rFonts w:hint="default" w:ascii="Candara" w:hAnsi="Candara" w:cs="Candara"/>
          <w:b/>
          <w:bCs/>
          <w:color w:val="000000" w:themeColor="text1"/>
          <w:lang w:val="en-US"/>
          <w14:textFill>
            <w14:solidFill>
              <w14:schemeClr w14:val="tx1"/>
            </w14:solidFill>
          </w14:textFill>
        </w:rPr>
      </w:pPr>
    </w:p>
    <w:sectPr>
      <w:headerReference r:id="rId3" w:type="default"/>
      <w:footerReference r:id="rId4" w:type="default"/>
      <w:pgSz w:w="11910" w:h="16840"/>
      <w:pgMar w:top="2606" w:right="1627" w:bottom="547" w:left="1685" w:header="0" w:footer="464" w:gutter="0"/>
      <w:pgNumType w:start="135"/>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86"/>
    <w:family w:val="roman"/>
    <w:pitch w:val="default"/>
    <w:sig w:usb0="00000287" w:usb1="00000000" w:usb2="00000000" w:usb3="00000000" w:csb0="200000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Liberation Serif">
    <w:altName w:val="Times New Roman"/>
    <w:panose1 w:val="00000000000000000000"/>
    <w:charset w:val="00"/>
    <w:family w:val="roman"/>
    <w:pitch w:val="default"/>
    <w:sig w:usb0="00000000" w:usb1="00000000" w:usb2="00000000" w:usb3="00000000" w:csb0="00040001" w:csb1="00000000"/>
  </w:font>
  <w:font w:name="NSimSun">
    <w:panose1 w:val="02010609030101010101"/>
    <w:charset w:val="86"/>
    <w:family w:val="modern"/>
    <w:pitch w:val="default"/>
    <w:sig w:usb0="00000203" w:usb1="288F0000" w:usb2="0000000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Code">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roman"/>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DengXian">
    <w:altName w:val="SimSun"/>
    <w:panose1 w:val="02010600030101010101"/>
    <w:charset w:val="86"/>
    <w:family w:val="auto"/>
    <w:pitch w:val="default"/>
    <w:sig w:usb0="00000000" w:usb1="00000000" w:usb2="00000016" w:usb3="00000000" w:csb0="0004000F" w:csb1="00000000"/>
  </w:font>
  <w:font w:name="Lucida Fax">
    <w:altName w:val="Segoe Print"/>
    <w:panose1 w:val="02060602050505020204"/>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 w:name="Microsoft JhengHei UI">
    <w:panose1 w:val="020B0604030504040204"/>
    <w:charset w:val="88"/>
    <w:family w:val="auto"/>
    <w:pitch w:val="default"/>
    <w:sig w:usb0="000002A7" w:usb1="28CF4400" w:usb2="00000016" w:usb3="00000000" w:csb0="00100009" w:csb1="00000000"/>
  </w:font>
  <w:font w:name="Candara">
    <w:panose1 w:val="020E0502030303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EAA80">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130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13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253"/>
                          </w:sdtPr>
                          <w:sdtContent>
                            <w:p w14:paraId="3FE4CADD">
                              <w:pPr>
                                <w:pStyle w:val="16"/>
                                <w:jc w:val="center"/>
                              </w:pPr>
                              <w:r>
                                <w:fldChar w:fldCharType="begin"/>
                              </w:r>
                              <w:r>
                                <w:instrText xml:space="preserve"> PAGE   \* MERGEFORMAT </w:instrText>
                              </w:r>
                              <w:r>
                                <w:fldChar w:fldCharType="separate"/>
                              </w:r>
                              <w:r>
                                <w:t>1</w:t>
                              </w:r>
                              <w:r>
                                <w:fldChar w:fldCharType="end"/>
                              </w:r>
                            </w:p>
                          </w:sdtContent>
                        </w:sdt>
                        <w:p w14:paraId="47475EEB"/>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22.15pt;mso-position-horizontal:center;mso-position-horizontal-relative:margin;z-index:251660288;mso-width-relative:page;mso-height-relative:page;" filled="f" stroked="f" coordsize="21600,21600" o:gfxdata="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umUdQAAAAE&#10;AQAADwAAAAAAAAABACAAAAAiAAAAZHJzL2Rvd25yZXYueG1sUEsBAhQAFAAAAAgAh07iQF7Oqvcg&#10;AgAAVQQAAA4AAAAAAAAAAQAgAAAAIwEAAGRycy9lMm9Eb2MueG1sUEsFBgAAAAAGAAYAWQEAALUF&#10;AAAAAA==&#10;">
              <v:fill on="f" focussize="0,0"/>
              <v:stroke on="f" weight="0.5pt"/>
              <v:imagedata o:title=""/>
              <o:lock v:ext="edit" aspectratio="f"/>
              <v:textbox inset="0mm,0mm,0mm,0mm" style="mso-fit-shape-to-text:t;">
                <w:txbxContent>
                  <w:sdt>
                    <w:sdtPr>
                      <w:id w:val="147469253"/>
                    </w:sdtPr>
                    <w:sdtContent>
                      <w:p w14:paraId="3FE4CADD">
                        <w:pPr>
                          <w:pStyle w:val="16"/>
                          <w:jc w:val="center"/>
                        </w:pPr>
                        <w:r>
                          <w:fldChar w:fldCharType="begin"/>
                        </w:r>
                        <w:r>
                          <w:instrText xml:space="preserve"> PAGE   \* MERGEFORMAT </w:instrText>
                        </w:r>
                        <w:r>
                          <w:fldChar w:fldCharType="separate"/>
                        </w:r>
                        <w:r>
                          <w:t>1</w:t>
                        </w:r>
                        <w:r>
                          <w:fldChar w:fldCharType="end"/>
                        </w:r>
                      </w:p>
                    </w:sdtContent>
                  </w:sdt>
                  <w:p w14:paraId="47475EEB"/>
                </w:txbxContent>
              </v:textbox>
            </v:shape>
          </w:pict>
        </mc:Fallback>
      </mc:AlternateContent>
    </w:r>
  </w:p>
  <w:p w14:paraId="6ECFC099">
    <w:pPr>
      <w:spacing w:line="14" w:lineRule="auto"/>
      <w:rPr>
        <w:color w:val="000000"/>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8E5A7">
    <w:pPr>
      <w:rPr>
        <w:rFonts w:ascii="Times New Roman" w:hAnsi="Times New Roman" w:eastAsia="Times New Roman" w:cs="Times New Roman"/>
        <w:color w:val="00487E"/>
        <w:sz w:val="36"/>
        <w:szCs w:val="36"/>
      </w:rPr>
    </w:pPr>
    <w:r>
      <w:rPr>
        <w:color w:val="00487E"/>
      </w:rPr>
      <mc:AlternateContent>
        <mc:Choice Requires="wpg">
          <w:drawing>
            <wp:anchor distT="0" distB="0" distL="0" distR="0" simplePos="0" relativeHeight="251659264" behindDoc="1" locked="0" layoutInCell="1" allowOverlap="1">
              <wp:simplePos x="0" y="0"/>
              <wp:positionH relativeFrom="page">
                <wp:posOffset>4937125</wp:posOffset>
              </wp:positionH>
              <wp:positionV relativeFrom="page">
                <wp:posOffset>125730</wp:posOffset>
              </wp:positionV>
              <wp:extent cx="2351405" cy="1534160"/>
              <wp:effectExtent l="0" t="0" r="10795" b="0"/>
              <wp:wrapNone/>
              <wp:docPr id="1" name="Group 1"/>
              <wp:cNvGraphicFramePr/>
              <a:graphic xmlns:a="http://schemas.openxmlformats.org/drawingml/2006/main">
                <a:graphicData uri="http://schemas.microsoft.com/office/word/2010/wordprocessingGroup">
                  <wpg:wgp>
                    <wpg:cNvGrpSpPr/>
                    <wpg:grpSpPr>
                      <a:xfrm>
                        <a:off x="0" y="0"/>
                        <a:ext cx="2351405" cy="1534160"/>
                        <a:chOff x="284352" y="-159026"/>
                        <a:chExt cx="2351531" cy="1534602"/>
                      </a:xfrm>
                    </wpg:grpSpPr>
                    <pic:pic xmlns:pic="http://schemas.openxmlformats.org/drawingml/2006/picture">
                      <pic:nvPicPr>
                        <pic:cNvPr id="3" name="Image 3"/>
                        <pic:cNvPicPr/>
                      </pic:nvPicPr>
                      <pic:blipFill>
                        <a:blip r:embed="rId1" cstate="print"/>
                        <a:stretch>
                          <a:fillRect/>
                        </a:stretch>
                      </pic:blipFill>
                      <pic:spPr>
                        <a:xfrm>
                          <a:off x="284352" y="-159026"/>
                          <a:ext cx="2351531" cy="1534602"/>
                        </a:xfrm>
                        <a:prstGeom prst="rect">
                          <a:avLst/>
                        </a:prstGeom>
                      </pic:spPr>
                    </pic:pic>
                    <wps:wsp>
                      <wps:cNvPr id="4" name="Freeform 36"/>
                      <wps:cNvSpPr/>
                      <wps:spPr>
                        <a:xfrm>
                          <a:off x="543433" y="821436"/>
                          <a:ext cx="1905000" cy="344805"/>
                        </a:xfrm>
                        <a:custGeom>
                          <a:avLst/>
                          <a:gdLst/>
                          <a:ahLst/>
                          <a:cxnLst/>
                          <a:rect l="l" t="t" r="r" b="b"/>
                          <a:pathLst>
                            <a:path w="1905000" h="344805">
                              <a:moveTo>
                                <a:pt x="1904999" y="344424"/>
                              </a:moveTo>
                              <a:lnTo>
                                <a:pt x="0" y="344424"/>
                              </a:lnTo>
                              <a:lnTo>
                                <a:pt x="0" y="0"/>
                              </a:lnTo>
                              <a:lnTo>
                                <a:pt x="1904999" y="0"/>
                              </a:lnTo>
                              <a:lnTo>
                                <a:pt x="1904999" y="344424"/>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388.75pt;margin-top:9.9pt;height:120.8pt;width:185.15pt;mso-position-horizontal-relative:page;mso-position-vertical-relative:page;z-index:-251657216;mso-width-relative:page;mso-height-relative:page;" coordorigin="284352,-159026" coordsize="2351531,1534602" o:gfxdata="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">
              <o:lock v:ext="edit" aspectratio="f"/>
              <v:shape id="Image 3" o:spid="_x0000_s1026" o:spt="75" type="#_x0000_t75" style="position:absolute;left:284352;top:-159026;height:1534602;width:2351531;" filled="f" o:preferrelative="t" stroked="f" coordsize="21600,21600" o:gfxdata="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3jXsugAAANoA&#10;AAAPAAAAAAAAAAEAIAAAACIAAABkcnMvZG93bnJldi54bWxQSwECFAAUAAAACACHTuJAMy8FnjsA&#10;AAA5AAAAEAAAAAAAAAABACAAAAAJAQAAZHJzL3NoYXBleG1sLnhtbFBLBQYAAAAABgAGAFsBAACz&#10;AwAAAAA=&#10;">
                <v:fill on="f" focussize="0,0"/>
                <v:stroke on="f"/>
                <v:imagedata r:id="rId1" o:title=""/>
                <o:lock v:ext="edit" aspectratio="f"/>
              </v:shape>
              <v:shape id="Freeform 36" o:spid="_x0000_s1026" o:spt="100" style="position:absolute;left:543433;top:821436;height:344805;width:1905000;" fillcolor="#FFFFFF" filled="t" stroked="f" coordsize="1905000,344805" o:gfxdata="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8CI9vQAA&#10;ANoAAAAPAAAAAAAAAAEAIAAAACIAAABkcnMvZG93bnJldi54bWxQSwECFAAUAAAACACHTuJAMy8F&#10;njsAAAA5AAAAEAAAAAAAAAABACAAAAAMAQAAZHJzL3NoYXBleG1sLnhtbFBLBQYAAAAABgAGAFsB&#10;AAC2AwAAAAA=&#10;" path="m1904999,344424l0,344424,0,0,1904999,0,1904999,344424xe">
                <v:fill on="t" focussize="0,0"/>
                <v:stroke on="f"/>
                <v:imagedata o:title=""/>
                <o:lock v:ext="edit" aspectratio="f"/>
                <v:textbox inset="0mm,0mm,0mm,0mm"/>
              </v:shape>
            </v:group>
          </w:pict>
        </mc:Fallback>
      </mc:AlternateContent>
    </w:r>
  </w:p>
  <w:p w14:paraId="593F1EC5">
    <w:pPr>
      <w:rPr>
        <w:color w:val="4F81BD"/>
        <w:sz w:val="36"/>
        <w:szCs w:val="36"/>
      </w:rPr>
    </w:pPr>
    <w:r>
      <w:rPr>
        <w:color w:val="00487E"/>
        <w:sz w:val="36"/>
        <w:szCs w:val="36"/>
      </w:rPr>
      <w:t>Dialogue Social Science Review (DSSR)</w:t>
    </w:r>
  </w:p>
  <w:p w14:paraId="658C4301">
    <w:pPr>
      <w:rPr>
        <w:color w:val="00487E"/>
        <w:sz w:val="24"/>
        <w:szCs w:val="24"/>
      </w:rPr>
    </w:pPr>
    <w:r>
      <w:fldChar w:fldCharType="begin"/>
    </w:r>
    <w:r>
      <w:instrText xml:space="preserve"> HYPERLINK "http://www.thedssr.com" \h </w:instrText>
    </w:r>
    <w:r>
      <w:fldChar w:fldCharType="separate"/>
    </w:r>
    <w:r>
      <w:rPr>
        <w:color w:val="0000FF"/>
        <w:sz w:val="24"/>
        <w:szCs w:val="24"/>
      </w:rPr>
      <w:t>www.thedssr.com</w:t>
    </w:r>
    <w:r>
      <w:rPr>
        <w:color w:val="0000FF"/>
        <w:sz w:val="24"/>
        <w:szCs w:val="24"/>
      </w:rPr>
      <w:fldChar w:fldCharType="end"/>
    </w:r>
  </w:p>
  <w:p w14:paraId="50F37C97">
    <w:pPr>
      <w:rPr>
        <w:color w:val="00487E"/>
        <w:sz w:val="20"/>
        <w:szCs w:val="20"/>
      </w:rPr>
    </w:pPr>
  </w:p>
  <w:p w14:paraId="27FF9708">
    <w:pPr>
      <w:rPr>
        <w:color w:val="00487E"/>
        <w:sz w:val="20"/>
        <w:szCs w:val="20"/>
      </w:rPr>
    </w:pPr>
    <w:r>
      <w:rPr>
        <w:color w:val="00487E"/>
        <w:sz w:val="20"/>
        <w:szCs w:val="20"/>
      </w:rPr>
      <w:t>ISSN Online: 3007-3154</w:t>
    </w:r>
  </w:p>
  <w:p w14:paraId="1351D025">
    <w:pPr>
      <w:rPr>
        <w:color w:val="00487E"/>
        <w:sz w:val="20"/>
        <w:szCs w:val="20"/>
      </w:rPr>
    </w:pPr>
    <w:r>
      <w:rPr>
        <w:color w:val="00487E"/>
        <w:sz w:val="20"/>
        <w:szCs w:val="20"/>
      </w:rPr>
      <w:t>ISSN Print: 3007-3146</w:t>
    </w:r>
  </w:p>
  <w:p w14:paraId="44AAE4CC">
    <w:pPr>
      <w:rPr>
        <w:color w:val="00487E"/>
        <w:sz w:val="20"/>
        <w:szCs w:val="20"/>
      </w:rPr>
    </w:pPr>
  </w:p>
  <w:p w14:paraId="6B183947">
    <w:pPr>
      <w:rPr>
        <w:color w:val="00487E"/>
        <w:sz w:val="28"/>
        <w:szCs w:val="28"/>
      </w:rPr>
    </w:pPr>
    <w:r>
      <w:rPr>
        <w:color w:val="00487E"/>
        <w:sz w:val="28"/>
        <w:szCs w:val="28"/>
      </w:rPr>
      <w:t>Vol. 4 No. 5 (May) (2026)</w:t>
    </w:r>
  </w:p>
  <w:p w14:paraId="1B5A4A76">
    <w:pP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AF575E"/>
    <w:multiLevelType w:val="multilevel"/>
    <w:tmpl w:val="01AF575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5A11D05"/>
    <w:multiLevelType w:val="multilevel"/>
    <w:tmpl w:val="05A11D0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D331A82"/>
    <w:multiLevelType w:val="multilevel"/>
    <w:tmpl w:val="0D331A8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C7F4051"/>
    <w:multiLevelType w:val="multilevel"/>
    <w:tmpl w:val="2C7F40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2FB7318A"/>
    <w:multiLevelType w:val="multilevel"/>
    <w:tmpl w:val="2FB7318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047284A"/>
    <w:multiLevelType w:val="multilevel"/>
    <w:tmpl w:val="4047284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5440E18"/>
    <w:multiLevelType w:val="multilevel"/>
    <w:tmpl w:val="45440E1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E482A46"/>
    <w:multiLevelType w:val="multilevel"/>
    <w:tmpl w:val="5E482A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6234306D"/>
    <w:multiLevelType w:val="multilevel"/>
    <w:tmpl w:val="6234306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9C04466"/>
    <w:multiLevelType w:val="multilevel"/>
    <w:tmpl w:val="69C0446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76C37205"/>
    <w:multiLevelType w:val="multilevel"/>
    <w:tmpl w:val="76C3720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B250267"/>
    <w:multiLevelType w:val="multilevel"/>
    <w:tmpl w:val="7B2502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7C923B7F"/>
    <w:multiLevelType w:val="multilevel"/>
    <w:tmpl w:val="7C923B7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8"/>
  </w:num>
  <w:num w:numId="2">
    <w:abstractNumId w:val="1"/>
  </w:num>
  <w:num w:numId="3">
    <w:abstractNumId w:val="0"/>
  </w:num>
  <w:num w:numId="4">
    <w:abstractNumId w:val="5"/>
  </w:num>
  <w:num w:numId="5">
    <w:abstractNumId w:val="2"/>
  </w:num>
  <w:num w:numId="6">
    <w:abstractNumId w:val="6"/>
  </w:num>
  <w:num w:numId="7">
    <w:abstractNumId w:val="7"/>
  </w:num>
  <w:num w:numId="8">
    <w:abstractNumId w:val="3"/>
  </w:num>
  <w:num w:numId="9">
    <w:abstractNumId w:val="12"/>
  </w:num>
  <w:num w:numId="10">
    <w:abstractNumId w:val="11"/>
  </w:num>
  <w:num w:numId="11">
    <w:abstractNumId w:val="9"/>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compat>
    <w:compatSetting w:name="compatibilityMode" w:uri="http://schemas.microsoft.com/office/word" w:val="14"/>
  </w:compat>
  <w:rsids>
    <w:rsidRoot w:val="003622C1"/>
    <w:rsid w:val="00091449"/>
    <w:rsid w:val="000939D2"/>
    <w:rsid w:val="000C04FB"/>
    <w:rsid w:val="000C55EA"/>
    <w:rsid w:val="00165E85"/>
    <w:rsid w:val="00224C54"/>
    <w:rsid w:val="00287E5C"/>
    <w:rsid w:val="002E0BA3"/>
    <w:rsid w:val="00307055"/>
    <w:rsid w:val="003478A7"/>
    <w:rsid w:val="003622C1"/>
    <w:rsid w:val="003A435C"/>
    <w:rsid w:val="004E2F98"/>
    <w:rsid w:val="004F0192"/>
    <w:rsid w:val="006701B3"/>
    <w:rsid w:val="00675413"/>
    <w:rsid w:val="00681A6A"/>
    <w:rsid w:val="007D5CEB"/>
    <w:rsid w:val="00871F16"/>
    <w:rsid w:val="008B539F"/>
    <w:rsid w:val="009A2AF8"/>
    <w:rsid w:val="00A44E8C"/>
    <w:rsid w:val="00BA3FBE"/>
    <w:rsid w:val="00C1694B"/>
    <w:rsid w:val="00D21574"/>
    <w:rsid w:val="00D307A0"/>
    <w:rsid w:val="00DC5551"/>
    <w:rsid w:val="00E24938"/>
    <w:rsid w:val="00E75584"/>
    <w:rsid w:val="01256EF0"/>
    <w:rsid w:val="0139010F"/>
    <w:rsid w:val="018C4316"/>
    <w:rsid w:val="01DA2E98"/>
    <w:rsid w:val="022D7723"/>
    <w:rsid w:val="024E43D4"/>
    <w:rsid w:val="02543D5F"/>
    <w:rsid w:val="02752C25"/>
    <w:rsid w:val="02767A81"/>
    <w:rsid w:val="02890D36"/>
    <w:rsid w:val="02903F44"/>
    <w:rsid w:val="02BB6F86"/>
    <w:rsid w:val="02C00E90"/>
    <w:rsid w:val="02CE01A5"/>
    <w:rsid w:val="02D10FFE"/>
    <w:rsid w:val="02DB52BD"/>
    <w:rsid w:val="032469B6"/>
    <w:rsid w:val="03752895"/>
    <w:rsid w:val="037554BB"/>
    <w:rsid w:val="038753D5"/>
    <w:rsid w:val="039E087E"/>
    <w:rsid w:val="03BF0DB3"/>
    <w:rsid w:val="03F62DA4"/>
    <w:rsid w:val="04410087"/>
    <w:rsid w:val="04C2515D"/>
    <w:rsid w:val="050B6856"/>
    <w:rsid w:val="0523067A"/>
    <w:rsid w:val="05511312"/>
    <w:rsid w:val="055C1AD8"/>
    <w:rsid w:val="05750484"/>
    <w:rsid w:val="05915754"/>
    <w:rsid w:val="05C25048"/>
    <w:rsid w:val="05FF4171"/>
    <w:rsid w:val="06056A6E"/>
    <w:rsid w:val="06462D5B"/>
    <w:rsid w:val="06BD087A"/>
    <w:rsid w:val="06D9667E"/>
    <w:rsid w:val="07A00E91"/>
    <w:rsid w:val="07EE0989"/>
    <w:rsid w:val="07FA1055"/>
    <w:rsid w:val="080F2686"/>
    <w:rsid w:val="081C745E"/>
    <w:rsid w:val="088C7022"/>
    <w:rsid w:val="08A54FBD"/>
    <w:rsid w:val="08E9088A"/>
    <w:rsid w:val="09265ED9"/>
    <w:rsid w:val="0A49096C"/>
    <w:rsid w:val="0AD84D58"/>
    <w:rsid w:val="0AE962F7"/>
    <w:rsid w:val="0B0D1302"/>
    <w:rsid w:val="0B5309F1"/>
    <w:rsid w:val="0B7770B2"/>
    <w:rsid w:val="0B7E7F16"/>
    <w:rsid w:val="0B82196E"/>
    <w:rsid w:val="0B9F6694"/>
    <w:rsid w:val="0BCE33E0"/>
    <w:rsid w:val="0BF73C9C"/>
    <w:rsid w:val="0C246F78"/>
    <w:rsid w:val="0C2D568A"/>
    <w:rsid w:val="0C516F0F"/>
    <w:rsid w:val="0C572C4B"/>
    <w:rsid w:val="0C6322E0"/>
    <w:rsid w:val="0C897FA2"/>
    <w:rsid w:val="0C8E553F"/>
    <w:rsid w:val="0CB35CD6"/>
    <w:rsid w:val="0CE20630"/>
    <w:rsid w:val="0CF86DFD"/>
    <w:rsid w:val="0D2F083D"/>
    <w:rsid w:val="0D337136"/>
    <w:rsid w:val="0D4528D3"/>
    <w:rsid w:val="0DD3123D"/>
    <w:rsid w:val="0DF60331"/>
    <w:rsid w:val="0E635C14"/>
    <w:rsid w:val="0E8A34DE"/>
    <w:rsid w:val="0EB3632D"/>
    <w:rsid w:val="0F276409"/>
    <w:rsid w:val="0F552A88"/>
    <w:rsid w:val="0F821E7D"/>
    <w:rsid w:val="0F894AE5"/>
    <w:rsid w:val="0F8D020F"/>
    <w:rsid w:val="0F9D2D60"/>
    <w:rsid w:val="0FC201FA"/>
    <w:rsid w:val="0FC63F72"/>
    <w:rsid w:val="0FDA030E"/>
    <w:rsid w:val="1004760A"/>
    <w:rsid w:val="101B3C80"/>
    <w:rsid w:val="10DC6C37"/>
    <w:rsid w:val="110E42F0"/>
    <w:rsid w:val="11647E15"/>
    <w:rsid w:val="11AB4BDF"/>
    <w:rsid w:val="11BC6ED5"/>
    <w:rsid w:val="12124F68"/>
    <w:rsid w:val="123371E8"/>
    <w:rsid w:val="12597DAE"/>
    <w:rsid w:val="12A501AB"/>
    <w:rsid w:val="12B65537"/>
    <w:rsid w:val="131B354D"/>
    <w:rsid w:val="135A7A3A"/>
    <w:rsid w:val="135E0614"/>
    <w:rsid w:val="136B2768"/>
    <w:rsid w:val="137F720A"/>
    <w:rsid w:val="1422279C"/>
    <w:rsid w:val="142F3738"/>
    <w:rsid w:val="148641BA"/>
    <w:rsid w:val="14867011"/>
    <w:rsid w:val="14D20DB6"/>
    <w:rsid w:val="14E2309A"/>
    <w:rsid w:val="15633ECD"/>
    <w:rsid w:val="15A95389"/>
    <w:rsid w:val="15AC781F"/>
    <w:rsid w:val="15CA3CC0"/>
    <w:rsid w:val="15E82AFC"/>
    <w:rsid w:val="16003A26"/>
    <w:rsid w:val="16104199"/>
    <w:rsid w:val="1675720A"/>
    <w:rsid w:val="16B84854"/>
    <w:rsid w:val="16E31677"/>
    <w:rsid w:val="17206E08"/>
    <w:rsid w:val="17354BC5"/>
    <w:rsid w:val="17650D6F"/>
    <w:rsid w:val="17AD5A18"/>
    <w:rsid w:val="17C5460C"/>
    <w:rsid w:val="17C70B24"/>
    <w:rsid w:val="17C93012"/>
    <w:rsid w:val="17E42854"/>
    <w:rsid w:val="180F3786"/>
    <w:rsid w:val="18135A10"/>
    <w:rsid w:val="189204DC"/>
    <w:rsid w:val="18D6574D"/>
    <w:rsid w:val="19163285"/>
    <w:rsid w:val="19293451"/>
    <w:rsid w:val="19613133"/>
    <w:rsid w:val="196D7CD4"/>
    <w:rsid w:val="197539F0"/>
    <w:rsid w:val="19AB6A2A"/>
    <w:rsid w:val="19C64C33"/>
    <w:rsid w:val="19D41982"/>
    <w:rsid w:val="19F1171D"/>
    <w:rsid w:val="1A1E0502"/>
    <w:rsid w:val="1A1F3A55"/>
    <w:rsid w:val="1A872F16"/>
    <w:rsid w:val="1A9234A5"/>
    <w:rsid w:val="1AA9357D"/>
    <w:rsid w:val="1AAA0B4C"/>
    <w:rsid w:val="1AC9694B"/>
    <w:rsid w:val="1B487F31"/>
    <w:rsid w:val="1B533DB3"/>
    <w:rsid w:val="1B586B12"/>
    <w:rsid w:val="1B9A2189"/>
    <w:rsid w:val="1BC16DC9"/>
    <w:rsid w:val="1BEC025E"/>
    <w:rsid w:val="1BF146E6"/>
    <w:rsid w:val="1C0F42C1"/>
    <w:rsid w:val="1C116575"/>
    <w:rsid w:val="1C170945"/>
    <w:rsid w:val="1C74143C"/>
    <w:rsid w:val="1C87045D"/>
    <w:rsid w:val="1C912F6B"/>
    <w:rsid w:val="1C990377"/>
    <w:rsid w:val="1CA4418A"/>
    <w:rsid w:val="1CCB74A1"/>
    <w:rsid w:val="1CD56366"/>
    <w:rsid w:val="1CE369A5"/>
    <w:rsid w:val="1D0B1EB9"/>
    <w:rsid w:val="1D3B5982"/>
    <w:rsid w:val="1D3C0E85"/>
    <w:rsid w:val="1D924472"/>
    <w:rsid w:val="1E5E5B8F"/>
    <w:rsid w:val="1E742207"/>
    <w:rsid w:val="1E7D5094"/>
    <w:rsid w:val="1EF86CF1"/>
    <w:rsid w:val="1F190552"/>
    <w:rsid w:val="1F482618"/>
    <w:rsid w:val="1F545B21"/>
    <w:rsid w:val="1F653AA2"/>
    <w:rsid w:val="1F655EE9"/>
    <w:rsid w:val="1FB27712"/>
    <w:rsid w:val="1FE223DD"/>
    <w:rsid w:val="203016D7"/>
    <w:rsid w:val="203C58AB"/>
    <w:rsid w:val="20450DFD"/>
    <w:rsid w:val="20454680"/>
    <w:rsid w:val="20566C4C"/>
    <w:rsid w:val="209C728D"/>
    <w:rsid w:val="20A5211B"/>
    <w:rsid w:val="21194658"/>
    <w:rsid w:val="212826F4"/>
    <w:rsid w:val="21425982"/>
    <w:rsid w:val="21492AFF"/>
    <w:rsid w:val="219D0867"/>
    <w:rsid w:val="21A70722"/>
    <w:rsid w:val="21BC2F68"/>
    <w:rsid w:val="21CE5BCE"/>
    <w:rsid w:val="21F94FCB"/>
    <w:rsid w:val="22197A7E"/>
    <w:rsid w:val="22215CA5"/>
    <w:rsid w:val="2222290C"/>
    <w:rsid w:val="223D38AB"/>
    <w:rsid w:val="22993850"/>
    <w:rsid w:val="229B128E"/>
    <w:rsid w:val="22B53180"/>
    <w:rsid w:val="22BE116C"/>
    <w:rsid w:val="22DC416B"/>
    <w:rsid w:val="23030D01"/>
    <w:rsid w:val="233424C7"/>
    <w:rsid w:val="2338636B"/>
    <w:rsid w:val="23457D8E"/>
    <w:rsid w:val="234C6B76"/>
    <w:rsid w:val="234F58FD"/>
    <w:rsid w:val="23A278CE"/>
    <w:rsid w:val="240E24B8"/>
    <w:rsid w:val="24143418"/>
    <w:rsid w:val="242E16E8"/>
    <w:rsid w:val="246805C8"/>
    <w:rsid w:val="24703363"/>
    <w:rsid w:val="249D3020"/>
    <w:rsid w:val="24B94A1B"/>
    <w:rsid w:val="24C11F5B"/>
    <w:rsid w:val="25695BEC"/>
    <w:rsid w:val="259E0645"/>
    <w:rsid w:val="259E61FA"/>
    <w:rsid w:val="25AA1ED9"/>
    <w:rsid w:val="25D07BEE"/>
    <w:rsid w:val="25F57071"/>
    <w:rsid w:val="2626645F"/>
    <w:rsid w:val="26723EA0"/>
    <w:rsid w:val="2674499C"/>
    <w:rsid w:val="269C0568"/>
    <w:rsid w:val="26CD1AC9"/>
    <w:rsid w:val="270216DD"/>
    <w:rsid w:val="27415262"/>
    <w:rsid w:val="27865F67"/>
    <w:rsid w:val="27DF65F5"/>
    <w:rsid w:val="283312BD"/>
    <w:rsid w:val="289440D3"/>
    <w:rsid w:val="28CB732D"/>
    <w:rsid w:val="28DD795B"/>
    <w:rsid w:val="28F434A6"/>
    <w:rsid w:val="290F27E6"/>
    <w:rsid w:val="2910361D"/>
    <w:rsid w:val="29BA7CF3"/>
    <w:rsid w:val="2A076865"/>
    <w:rsid w:val="2A4100AB"/>
    <w:rsid w:val="2A8F4FD7"/>
    <w:rsid w:val="2ACC5518"/>
    <w:rsid w:val="2B044DC0"/>
    <w:rsid w:val="2B275ED7"/>
    <w:rsid w:val="2B470F10"/>
    <w:rsid w:val="2B9E653B"/>
    <w:rsid w:val="2C0028BD"/>
    <w:rsid w:val="2C027343"/>
    <w:rsid w:val="2C652360"/>
    <w:rsid w:val="2C8871BE"/>
    <w:rsid w:val="2C933131"/>
    <w:rsid w:val="2CE84484"/>
    <w:rsid w:val="2CED2D01"/>
    <w:rsid w:val="2CEE2546"/>
    <w:rsid w:val="2CF540CF"/>
    <w:rsid w:val="2CF96358"/>
    <w:rsid w:val="2D4B28DF"/>
    <w:rsid w:val="2D4E3864"/>
    <w:rsid w:val="2D886EC1"/>
    <w:rsid w:val="2D9818DA"/>
    <w:rsid w:val="2DB236EF"/>
    <w:rsid w:val="2DC33823"/>
    <w:rsid w:val="2DEB27B2"/>
    <w:rsid w:val="2DFD2703"/>
    <w:rsid w:val="2E1B5A51"/>
    <w:rsid w:val="2E1E06B9"/>
    <w:rsid w:val="2E586286"/>
    <w:rsid w:val="2E8B21B7"/>
    <w:rsid w:val="2E986CFE"/>
    <w:rsid w:val="2EA9281C"/>
    <w:rsid w:val="2EA96F98"/>
    <w:rsid w:val="2F171FEC"/>
    <w:rsid w:val="2F1A5892"/>
    <w:rsid w:val="2F4D5528"/>
    <w:rsid w:val="2F933A9E"/>
    <w:rsid w:val="2FF80E15"/>
    <w:rsid w:val="30375685"/>
    <w:rsid w:val="303F40A9"/>
    <w:rsid w:val="30575CCC"/>
    <w:rsid w:val="305E0BE8"/>
    <w:rsid w:val="30611B6D"/>
    <w:rsid w:val="30646EC2"/>
    <w:rsid w:val="306A0AFC"/>
    <w:rsid w:val="306F5E15"/>
    <w:rsid w:val="30EA404F"/>
    <w:rsid w:val="31362E4A"/>
    <w:rsid w:val="314B756C"/>
    <w:rsid w:val="31B16017"/>
    <w:rsid w:val="31C86712"/>
    <w:rsid w:val="32262752"/>
    <w:rsid w:val="32296215"/>
    <w:rsid w:val="325C4AB8"/>
    <w:rsid w:val="32B25C39"/>
    <w:rsid w:val="32D2202C"/>
    <w:rsid w:val="32FB72B2"/>
    <w:rsid w:val="33F5442D"/>
    <w:rsid w:val="33F6270F"/>
    <w:rsid w:val="341779FB"/>
    <w:rsid w:val="341F206B"/>
    <w:rsid w:val="34355D35"/>
    <w:rsid w:val="345B200B"/>
    <w:rsid w:val="34733E4C"/>
    <w:rsid w:val="35382109"/>
    <w:rsid w:val="35440A6C"/>
    <w:rsid w:val="35556185"/>
    <w:rsid w:val="35B74BAD"/>
    <w:rsid w:val="35FB1E1E"/>
    <w:rsid w:val="36005459"/>
    <w:rsid w:val="361352C6"/>
    <w:rsid w:val="361D43B0"/>
    <w:rsid w:val="36373D14"/>
    <w:rsid w:val="366F435B"/>
    <w:rsid w:val="36EB3923"/>
    <w:rsid w:val="36ED19B2"/>
    <w:rsid w:val="374024B5"/>
    <w:rsid w:val="37B05FEC"/>
    <w:rsid w:val="37F37D5B"/>
    <w:rsid w:val="37FC066A"/>
    <w:rsid w:val="38291C1D"/>
    <w:rsid w:val="3856677A"/>
    <w:rsid w:val="387A7A6D"/>
    <w:rsid w:val="389257F7"/>
    <w:rsid w:val="389265DF"/>
    <w:rsid w:val="389B5BEA"/>
    <w:rsid w:val="389C366B"/>
    <w:rsid w:val="389D6932"/>
    <w:rsid w:val="39037B98"/>
    <w:rsid w:val="39291FD6"/>
    <w:rsid w:val="393712EB"/>
    <w:rsid w:val="393D2B30"/>
    <w:rsid w:val="393D31F5"/>
    <w:rsid w:val="39A6038D"/>
    <w:rsid w:val="39ED5597"/>
    <w:rsid w:val="3A021422"/>
    <w:rsid w:val="3A21645A"/>
    <w:rsid w:val="3A3B456F"/>
    <w:rsid w:val="3A467222"/>
    <w:rsid w:val="3A625555"/>
    <w:rsid w:val="3A7C4B96"/>
    <w:rsid w:val="3A872302"/>
    <w:rsid w:val="3A977FAE"/>
    <w:rsid w:val="3AE138A5"/>
    <w:rsid w:val="3B117125"/>
    <w:rsid w:val="3B27789D"/>
    <w:rsid w:val="3B5F185F"/>
    <w:rsid w:val="3B690306"/>
    <w:rsid w:val="3B6F292B"/>
    <w:rsid w:val="3BAE4E4B"/>
    <w:rsid w:val="3BC646E5"/>
    <w:rsid w:val="3BED6B06"/>
    <w:rsid w:val="3BEE5FE1"/>
    <w:rsid w:val="3BF51473"/>
    <w:rsid w:val="3C7B6ECA"/>
    <w:rsid w:val="3CB16D91"/>
    <w:rsid w:val="3CC07DA6"/>
    <w:rsid w:val="3CCD54F2"/>
    <w:rsid w:val="3CE112D9"/>
    <w:rsid w:val="3CE84F9D"/>
    <w:rsid w:val="3D2C126C"/>
    <w:rsid w:val="3D651046"/>
    <w:rsid w:val="3D8A6C44"/>
    <w:rsid w:val="3D8C258A"/>
    <w:rsid w:val="3E6E00C9"/>
    <w:rsid w:val="3E946368"/>
    <w:rsid w:val="3E9843C7"/>
    <w:rsid w:val="3EB035E6"/>
    <w:rsid w:val="3ED76D29"/>
    <w:rsid w:val="3EE207B9"/>
    <w:rsid w:val="3F382246"/>
    <w:rsid w:val="3F7755AE"/>
    <w:rsid w:val="3F8A45CE"/>
    <w:rsid w:val="3F9A4869"/>
    <w:rsid w:val="3FCE4DA4"/>
    <w:rsid w:val="3FDC2D53"/>
    <w:rsid w:val="402B6356"/>
    <w:rsid w:val="40402A78"/>
    <w:rsid w:val="405D23A8"/>
    <w:rsid w:val="40643282"/>
    <w:rsid w:val="40741FCD"/>
    <w:rsid w:val="40857CE9"/>
    <w:rsid w:val="40E507E1"/>
    <w:rsid w:val="412A0477"/>
    <w:rsid w:val="41A75842"/>
    <w:rsid w:val="41D3540D"/>
    <w:rsid w:val="41D94864"/>
    <w:rsid w:val="41E740AD"/>
    <w:rsid w:val="41F63994"/>
    <w:rsid w:val="425279FB"/>
    <w:rsid w:val="427A7CA0"/>
    <w:rsid w:val="42AB3465"/>
    <w:rsid w:val="42D34FAF"/>
    <w:rsid w:val="43120317"/>
    <w:rsid w:val="433A3A5A"/>
    <w:rsid w:val="43682F66"/>
    <w:rsid w:val="439508F1"/>
    <w:rsid w:val="43BC31E6"/>
    <w:rsid w:val="43F44E3E"/>
    <w:rsid w:val="440C185A"/>
    <w:rsid w:val="44103D56"/>
    <w:rsid w:val="44104FA2"/>
    <w:rsid w:val="44464E91"/>
    <w:rsid w:val="44B77F2D"/>
    <w:rsid w:val="44D161E2"/>
    <w:rsid w:val="44D241C0"/>
    <w:rsid w:val="4533406C"/>
    <w:rsid w:val="4534367C"/>
    <w:rsid w:val="45965562"/>
    <w:rsid w:val="459C3244"/>
    <w:rsid w:val="460D77F0"/>
    <w:rsid w:val="462E4075"/>
    <w:rsid w:val="46871EA2"/>
    <w:rsid w:val="46CE6E39"/>
    <w:rsid w:val="46F12483"/>
    <w:rsid w:val="470041B9"/>
    <w:rsid w:val="47114F8F"/>
    <w:rsid w:val="47577F0B"/>
    <w:rsid w:val="475B6702"/>
    <w:rsid w:val="476818A8"/>
    <w:rsid w:val="47703373"/>
    <w:rsid w:val="47AB2FA4"/>
    <w:rsid w:val="481F1C5E"/>
    <w:rsid w:val="484418DC"/>
    <w:rsid w:val="486401D4"/>
    <w:rsid w:val="48790E1F"/>
    <w:rsid w:val="487E0D7E"/>
    <w:rsid w:val="488A6D8F"/>
    <w:rsid w:val="489310C2"/>
    <w:rsid w:val="48AA6B8B"/>
    <w:rsid w:val="48EE7191"/>
    <w:rsid w:val="48F94E45"/>
    <w:rsid w:val="49213E0B"/>
    <w:rsid w:val="493545EF"/>
    <w:rsid w:val="4961007D"/>
    <w:rsid w:val="49994D4E"/>
    <w:rsid w:val="49BE69A8"/>
    <w:rsid w:val="4A065888"/>
    <w:rsid w:val="4A1B4FE6"/>
    <w:rsid w:val="4A662E1D"/>
    <w:rsid w:val="4A742133"/>
    <w:rsid w:val="4A81446B"/>
    <w:rsid w:val="4A9500E9"/>
    <w:rsid w:val="4ABD162D"/>
    <w:rsid w:val="4B282EDB"/>
    <w:rsid w:val="4B425E94"/>
    <w:rsid w:val="4B8E3F04"/>
    <w:rsid w:val="4BB30D0B"/>
    <w:rsid w:val="4BB927CA"/>
    <w:rsid w:val="4C093DCA"/>
    <w:rsid w:val="4C0E7CD6"/>
    <w:rsid w:val="4C9978BA"/>
    <w:rsid w:val="4C9C0900"/>
    <w:rsid w:val="4CF40ECD"/>
    <w:rsid w:val="4D135D42"/>
    <w:rsid w:val="4D2E3B8B"/>
    <w:rsid w:val="4D3919C1"/>
    <w:rsid w:val="4D704F42"/>
    <w:rsid w:val="4D9F4BE9"/>
    <w:rsid w:val="4DA63D54"/>
    <w:rsid w:val="4DE849E6"/>
    <w:rsid w:val="4E21063A"/>
    <w:rsid w:val="4E5619BD"/>
    <w:rsid w:val="4E6C694D"/>
    <w:rsid w:val="4E734BC1"/>
    <w:rsid w:val="4EC33C41"/>
    <w:rsid w:val="4EE07773"/>
    <w:rsid w:val="4F1C3B8A"/>
    <w:rsid w:val="4F427106"/>
    <w:rsid w:val="4F6B1415"/>
    <w:rsid w:val="4FD613F9"/>
    <w:rsid w:val="500A27E5"/>
    <w:rsid w:val="501C4EC2"/>
    <w:rsid w:val="50545FFA"/>
    <w:rsid w:val="50812723"/>
    <w:rsid w:val="50C00780"/>
    <w:rsid w:val="50C11E70"/>
    <w:rsid w:val="50D90267"/>
    <w:rsid w:val="50E15FBF"/>
    <w:rsid w:val="50E67B5C"/>
    <w:rsid w:val="5110328B"/>
    <w:rsid w:val="512D283B"/>
    <w:rsid w:val="513B5873"/>
    <w:rsid w:val="5167171C"/>
    <w:rsid w:val="51C51A67"/>
    <w:rsid w:val="51C71BE5"/>
    <w:rsid w:val="51F45BC5"/>
    <w:rsid w:val="52607735"/>
    <w:rsid w:val="526925C3"/>
    <w:rsid w:val="52731C65"/>
    <w:rsid w:val="52C164D5"/>
    <w:rsid w:val="52F427DE"/>
    <w:rsid w:val="532D3606"/>
    <w:rsid w:val="53893D72"/>
    <w:rsid w:val="53AE15D6"/>
    <w:rsid w:val="53B67D0A"/>
    <w:rsid w:val="541F564D"/>
    <w:rsid w:val="54303220"/>
    <w:rsid w:val="54471B54"/>
    <w:rsid w:val="544E19AD"/>
    <w:rsid w:val="547E286D"/>
    <w:rsid w:val="54F2623D"/>
    <w:rsid w:val="54F42AEB"/>
    <w:rsid w:val="54FD6D12"/>
    <w:rsid w:val="54FF03FB"/>
    <w:rsid w:val="54FF5C81"/>
    <w:rsid w:val="55062E8C"/>
    <w:rsid w:val="55114B8F"/>
    <w:rsid w:val="55124B31"/>
    <w:rsid w:val="55214D3B"/>
    <w:rsid w:val="55BC38B4"/>
    <w:rsid w:val="56004989"/>
    <w:rsid w:val="56237DE0"/>
    <w:rsid w:val="5645161A"/>
    <w:rsid w:val="56493019"/>
    <w:rsid w:val="567974EA"/>
    <w:rsid w:val="56FB2042"/>
    <w:rsid w:val="575E56A4"/>
    <w:rsid w:val="57833220"/>
    <w:rsid w:val="579212BC"/>
    <w:rsid w:val="58605180"/>
    <w:rsid w:val="58963862"/>
    <w:rsid w:val="58AB28B9"/>
    <w:rsid w:val="58D10943"/>
    <w:rsid w:val="58F46A27"/>
    <w:rsid w:val="592A4D4B"/>
    <w:rsid w:val="5A024538"/>
    <w:rsid w:val="5A2A7C7B"/>
    <w:rsid w:val="5A4C5C31"/>
    <w:rsid w:val="5A605B53"/>
    <w:rsid w:val="5A660216"/>
    <w:rsid w:val="5A66053A"/>
    <w:rsid w:val="5A882213"/>
    <w:rsid w:val="5AB12D8B"/>
    <w:rsid w:val="5AEC61BE"/>
    <w:rsid w:val="5AF96577"/>
    <w:rsid w:val="5AFB7C61"/>
    <w:rsid w:val="5AFC776E"/>
    <w:rsid w:val="5B13347C"/>
    <w:rsid w:val="5B1F4462"/>
    <w:rsid w:val="5B2630E4"/>
    <w:rsid w:val="5BC250D0"/>
    <w:rsid w:val="5BCB73A7"/>
    <w:rsid w:val="5C1B4BA8"/>
    <w:rsid w:val="5D3A5E39"/>
    <w:rsid w:val="5DAE2DC0"/>
    <w:rsid w:val="5DB209FB"/>
    <w:rsid w:val="5E653F23"/>
    <w:rsid w:val="5E7E17A2"/>
    <w:rsid w:val="5ECB7D14"/>
    <w:rsid w:val="5ED54C05"/>
    <w:rsid w:val="5EE93171"/>
    <w:rsid w:val="5F0D4001"/>
    <w:rsid w:val="5F15360C"/>
    <w:rsid w:val="5F163B6C"/>
    <w:rsid w:val="5F1A7A93"/>
    <w:rsid w:val="5F2B63A5"/>
    <w:rsid w:val="5F3673C4"/>
    <w:rsid w:val="5F5D7283"/>
    <w:rsid w:val="5F7B6833"/>
    <w:rsid w:val="5F8C1548"/>
    <w:rsid w:val="5F933EDA"/>
    <w:rsid w:val="60816C89"/>
    <w:rsid w:val="609C2792"/>
    <w:rsid w:val="60AB6F25"/>
    <w:rsid w:val="60EA1056"/>
    <w:rsid w:val="60EB16B5"/>
    <w:rsid w:val="60FF6FC2"/>
    <w:rsid w:val="61343606"/>
    <w:rsid w:val="618B7898"/>
    <w:rsid w:val="61AF3E33"/>
    <w:rsid w:val="62462F15"/>
    <w:rsid w:val="624C6651"/>
    <w:rsid w:val="62731D94"/>
    <w:rsid w:val="62AF4974"/>
    <w:rsid w:val="62B527FD"/>
    <w:rsid w:val="62B728EC"/>
    <w:rsid w:val="62C04412"/>
    <w:rsid w:val="62C17915"/>
    <w:rsid w:val="6303037E"/>
    <w:rsid w:val="63122D07"/>
    <w:rsid w:val="63365FCF"/>
    <w:rsid w:val="633E6EDE"/>
    <w:rsid w:val="635E65B7"/>
    <w:rsid w:val="638F59E4"/>
    <w:rsid w:val="63FD189B"/>
    <w:rsid w:val="641D434E"/>
    <w:rsid w:val="64467711"/>
    <w:rsid w:val="646969CC"/>
    <w:rsid w:val="647B46E8"/>
    <w:rsid w:val="64A77044"/>
    <w:rsid w:val="656F36A8"/>
    <w:rsid w:val="65776907"/>
    <w:rsid w:val="65F519D6"/>
    <w:rsid w:val="66123504"/>
    <w:rsid w:val="66321236"/>
    <w:rsid w:val="664839DE"/>
    <w:rsid w:val="665301A1"/>
    <w:rsid w:val="66805B15"/>
    <w:rsid w:val="66874B8C"/>
    <w:rsid w:val="66953746"/>
    <w:rsid w:val="67202781"/>
    <w:rsid w:val="67273F8A"/>
    <w:rsid w:val="67531912"/>
    <w:rsid w:val="6775496C"/>
    <w:rsid w:val="677B6565"/>
    <w:rsid w:val="677C6EEC"/>
    <w:rsid w:val="67B332C3"/>
    <w:rsid w:val="67D5446A"/>
    <w:rsid w:val="68280048"/>
    <w:rsid w:val="68332285"/>
    <w:rsid w:val="683B6F1C"/>
    <w:rsid w:val="684014B1"/>
    <w:rsid w:val="684D3B31"/>
    <w:rsid w:val="68517E2B"/>
    <w:rsid w:val="6855023B"/>
    <w:rsid w:val="68B40255"/>
    <w:rsid w:val="68D620DC"/>
    <w:rsid w:val="68DA0494"/>
    <w:rsid w:val="68E56825"/>
    <w:rsid w:val="6906005F"/>
    <w:rsid w:val="69253CD3"/>
    <w:rsid w:val="69326925"/>
    <w:rsid w:val="695A5BBD"/>
    <w:rsid w:val="6987746E"/>
    <w:rsid w:val="699356C4"/>
    <w:rsid w:val="6A026C83"/>
    <w:rsid w:val="6A9E35F8"/>
    <w:rsid w:val="6AA9520C"/>
    <w:rsid w:val="6B75365C"/>
    <w:rsid w:val="6B902CAD"/>
    <w:rsid w:val="6B992596"/>
    <w:rsid w:val="6BC952E4"/>
    <w:rsid w:val="6C95092E"/>
    <w:rsid w:val="6C951535"/>
    <w:rsid w:val="6CA94E54"/>
    <w:rsid w:val="6CD830DA"/>
    <w:rsid w:val="6CE74A3B"/>
    <w:rsid w:val="6CEB5DEC"/>
    <w:rsid w:val="6CF31D50"/>
    <w:rsid w:val="6D0475EA"/>
    <w:rsid w:val="6D625405"/>
    <w:rsid w:val="6D7256A0"/>
    <w:rsid w:val="6DAB79F8"/>
    <w:rsid w:val="6E233753"/>
    <w:rsid w:val="6E612A61"/>
    <w:rsid w:val="6E9D2E48"/>
    <w:rsid w:val="6EBD43BD"/>
    <w:rsid w:val="6EC07540"/>
    <w:rsid w:val="6EC124E4"/>
    <w:rsid w:val="6F2317E3"/>
    <w:rsid w:val="6F5F4A97"/>
    <w:rsid w:val="6F89280C"/>
    <w:rsid w:val="6FDB4045"/>
    <w:rsid w:val="70092D5A"/>
    <w:rsid w:val="70A94E62"/>
    <w:rsid w:val="70F3716D"/>
    <w:rsid w:val="713553E6"/>
    <w:rsid w:val="71725543"/>
    <w:rsid w:val="71AA6A7A"/>
    <w:rsid w:val="71AF2191"/>
    <w:rsid w:val="71C0605C"/>
    <w:rsid w:val="71CF5D6C"/>
    <w:rsid w:val="71E061E4"/>
    <w:rsid w:val="725A1FB3"/>
    <w:rsid w:val="729F3778"/>
    <w:rsid w:val="72B65E9F"/>
    <w:rsid w:val="72E6561C"/>
    <w:rsid w:val="72FA4732"/>
    <w:rsid w:val="73032035"/>
    <w:rsid w:val="73273115"/>
    <w:rsid w:val="734775B4"/>
    <w:rsid w:val="737758C7"/>
    <w:rsid w:val="7393582A"/>
    <w:rsid w:val="73A92B4E"/>
    <w:rsid w:val="73B548E7"/>
    <w:rsid w:val="740E08F2"/>
    <w:rsid w:val="74BD7896"/>
    <w:rsid w:val="74BF5CE3"/>
    <w:rsid w:val="74DB7480"/>
    <w:rsid w:val="74DC502C"/>
    <w:rsid w:val="75745D3F"/>
    <w:rsid w:val="758A1E4C"/>
    <w:rsid w:val="75B23626"/>
    <w:rsid w:val="75DE1B0A"/>
    <w:rsid w:val="76215DE7"/>
    <w:rsid w:val="76243A1D"/>
    <w:rsid w:val="76311F84"/>
    <w:rsid w:val="76435FE2"/>
    <w:rsid w:val="76660B4B"/>
    <w:rsid w:val="768E19DA"/>
    <w:rsid w:val="76903259"/>
    <w:rsid w:val="769A13A5"/>
    <w:rsid w:val="769D2054"/>
    <w:rsid w:val="76AB5C92"/>
    <w:rsid w:val="76B5414D"/>
    <w:rsid w:val="76BE4A5D"/>
    <w:rsid w:val="76C778EB"/>
    <w:rsid w:val="770F1364"/>
    <w:rsid w:val="7724443B"/>
    <w:rsid w:val="773D0BAE"/>
    <w:rsid w:val="774C33C7"/>
    <w:rsid w:val="775E6B64"/>
    <w:rsid w:val="77853FF9"/>
    <w:rsid w:val="779E4DF6"/>
    <w:rsid w:val="77A501F1"/>
    <w:rsid w:val="78197CD6"/>
    <w:rsid w:val="78256CC4"/>
    <w:rsid w:val="78556F38"/>
    <w:rsid w:val="786D0BF2"/>
    <w:rsid w:val="78985E22"/>
    <w:rsid w:val="78B22292"/>
    <w:rsid w:val="78D3062B"/>
    <w:rsid w:val="78EF60BC"/>
    <w:rsid w:val="79272A8A"/>
    <w:rsid w:val="7932627F"/>
    <w:rsid w:val="79A454A8"/>
    <w:rsid w:val="79BF2EAE"/>
    <w:rsid w:val="79DB19A9"/>
    <w:rsid w:val="7A094544"/>
    <w:rsid w:val="7A1C5763"/>
    <w:rsid w:val="7A3A2795"/>
    <w:rsid w:val="7A566944"/>
    <w:rsid w:val="7A5C074B"/>
    <w:rsid w:val="7AD324E9"/>
    <w:rsid w:val="7AFD5E64"/>
    <w:rsid w:val="7B0D5E20"/>
    <w:rsid w:val="7B2E771F"/>
    <w:rsid w:val="7B3F7E5C"/>
    <w:rsid w:val="7B435470"/>
    <w:rsid w:val="7B8C0E3D"/>
    <w:rsid w:val="7BA22FE1"/>
    <w:rsid w:val="7BB5539B"/>
    <w:rsid w:val="7BD01932"/>
    <w:rsid w:val="7C3D0C61"/>
    <w:rsid w:val="7C630EA1"/>
    <w:rsid w:val="7C985AF7"/>
    <w:rsid w:val="7C993579"/>
    <w:rsid w:val="7CC33C24"/>
    <w:rsid w:val="7CCF3A53"/>
    <w:rsid w:val="7D0F2B85"/>
    <w:rsid w:val="7D1022BE"/>
    <w:rsid w:val="7D321A15"/>
    <w:rsid w:val="7D332E4F"/>
    <w:rsid w:val="7D5719F5"/>
    <w:rsid w:val="7D584CFF"/>
    <w:rsid w:val="7D9E0378"/>
    <w:rsid w:val="7DF66402"/>
    <w:rsid w:val="7E6B6306"/>
    <w:rsid w:val="7E7151EF"/>
    <w:rsid w:val="7E8B286F"/>
    <w:rsid w:val="7E8C502E"/>
    <w:rsid w:val="7EF66C5B"/>
    <w:rsid w:val="7F117485"/>
    <w:rsid w:val="7F645E05"/>
    <w:rsid w:val="7F654D11"/>
    <w:rsid w:val="7F91280D"/>
    <w:rsid w:val="7F9D28E2"/>
    <w:rsid w:val="7F9F0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Georgia" w:hAnsi="Georgia" w:eastAsia="Georgia" w:cs="Georgia"/>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Georgia" w:hAnsi="Georgia" w:eastAsia="Georgia" w:cs="Georgia"/>
      <w:sz w:val="22"/>
      <w:szCs w:val="22"/>
      <w:lang w:val="en-US" w:eastAsia="en-US" w:bidi="ar-SA"/>
    </w:rPr>
  </w:style>
  <w:style w:type="paragraph" w:styleId="2">
    <w:name w:val="heading 1"/>
    <w:basedOn w:val="1"/>
    <w:next w:val="1"/>
    <w:link w:val="73"/>
    <w:qFormat/>
    <w:uiPriority w:val="0"/>
    <w:pPr>
      <w:ind w:left="120"/>
      <w:outlineLvl w:val="0"/>
    </w:pPr>
    <w:rPr>
      <w:rFonts w:ascii="Calibri" w:hAnsi="Calibri" w:eastAsia="Calibri" w:cs="Calibri"/>
      <w:b/>
      <w:sz w:val="24"/>
      <w:szCs w:val="24"/>
    </w:rPr>
  </w:style>
  <w:style w:type="paragraph" w:styleId="3">
    <w:name w:val="heading 2"/>
    <w:basedOn w:val="1"/>
    <w:next w:val="1"/>
    <w:link w:val="58"/>
    <w:qFormat/>
    <w:uiPriority w:val="0"/>
    <w:pPr>
      <w:keepNext/>
      <w:keepLines/>
      <w:spacing w:before="200"/>
      <w:outlineLvl w:val="1"/>
    </w:pPr>
    <w:rPr>
      <w:rFonts w:ascii="Cambria" w:hAnsi="Cambria" w:eastAsia="Cambria" w:cs="Cambria"/>
      <w:b/>
      <w:color w:val="4F81BD"/>
      <w:sz w:val="26"/>
      <w:szCs w:val="26"/>
    </w:rPr>
  </w:style>
  <w:style w:type="paragraph" w:styleId="4">
    <w:name w:val="heading 3"/>
    <w:basedOn w:val="1"/>
    <w:qFormat/>
    <w:uiPriority w:val="0"/>
    <w:pPr>
      <w:keepNext/>
      <w:keepLines/>
      <w:spacing w:before="200"/>
      <w:outlineLvl w:val="2"/>
    </w:pPr>
    <w:rPr>
      <w:rFonts w:ascii="Cambria" w:hAnsi="Cambria" w:eastAsia="Cambria" w:cs="Cambria"/>
      <w:color w:val="4F81BD"/>
    </w:rPr>
  </w:style>
  <w:style w:type="paragraph" w:styleId="5">
    <w:name w:val="heading 4"/>
    <w:basedOn w:val="1"/>
    <w:next w:val="1"/>
    <w:qFormat/>
    <w:uiPriority w:val="0"/>
    <w:pPr>
      <w:keepNext/>
      <w:keepLines/>
      <w:spacing w:before="200"/>
      <w:outlineLvl w:val="3"/>
    </w:pPr>
    <w:rPr>
      <w:rFonts w:ascii="Cambria" w:hAnsi="Cambria" w:eastAsia="Cambria" w:cs="Cambria"/>
      <w:b/>
      <w:i/>
      <w:color w:val="4F81BD"/>
    </w:rPr>
  </w:style>
  <w:style w:type="paragraph" w:styleId="6">
    <w:name w:val="heading 5"/>
    <w:basedOn w:val="1"/>
    <w:next w:val="1"/>
    <w:qFormat/>
    <w:uiPriority w:val="0"/>
    <w:pPr>
      <w:keepNext/>
      <w:keepLines/>
      <w:spacing w:before="200"/>
      <w:outlineLvl w:val="4"/>
    </w:pPr>
    <w:rPr>
      <w:rFonts w:ascii="Cambria" w:hAnsi="Cambria" w:eastAsia="Cambria" w:cs="Cambria"/>
      <w:color w:val="243F61"/>
    </w:rPr>
  </w:style>
  <w:style w:type="paragraph" w:styleId="7">
    <w:name w:val="heading 6"/>
    <w:basedOn w:val="1"/>
    <w:next w:val="1"/>
    <w:qFormat/>
    <w:uiPriority w:val="0"/>
    <w:pPr>
      <w:keepNext/>
      <w:keepLines/>
      <w:spacing w:before="200"/>
      <w:outlineLvl w:val="5"/>
    </w:pPr>
    <w:rPr>
      <w:rFonts w:ascii="Cambria" w:hAnsi="Cambria" w:eastAsia="Cambria" w:cs="Cambria"/>
      <w:i/>
      <w:color w:val="243F61"/>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38"/>
    <w:semiHidden/>
    <w:unhideWhenUsed/>
    <w:qFormat/>
    <w:uiPriority w:val="99"/>
    <w:rPr>
      <w:rFonts w:ascii="Tahoma" w:hAnsi="Tahoma" w:cs="Tahoma"/>
      <w:sz w:val="16"/>
      <w:szCs w:val="16"/>
    </w:rPr>
  </w:style>
  <w:style w:type="paragraph" w:styleId="11">
    <w:name w:val="Body Text"/>
    <w:basedOn w:val="1"/>
    <w:qFormat/>
    <w:uiPriority w:val="1"/>
    <w:pPr>
      <w:jc w:val="both"/>
    </w:pPr>
    <w:rPr>
      <w:rFonts w:ascii="Times New Roman" w:hAnsi="Times New Roman" w:eastAsia="Times New Roman" w:cs="Times New Roman"/>
      <w:sz w:val="24"/>
      <w:szCs w:val="24"/>
    </w:rPr>
  </w:style>
  <w:style w:type="paragraph" w:styleId="12">
    <w:name w:val="caption"/>
    <w:basedOn w:val="1"/>
    <w:next w:val="1"/>
    <w:qFormat/>
    <w:uiPriority w:val="0"/>
    <w:pPr>
      <w:spacing w:after="200"/>
    </w:pPr>
    <w:rPr>
      <w:rFonts w:ascii="Times New Roman" w:hAnsi="Times New Roman" w:eastAsia="Times New Roman" w:cs="Times New Roman"/>
      <w:b/>
      <w:bCs/>
      <w:i/>
      <w:iCs/>
      <w:color w:val="4F81BD"/>
      <w:sz w:val="18"/>
      <w:szCs w:val="18"/>
      <w:u w:color="4F81BD"/>
    </w:rPr>
  </w:style>
  <w:style w:type="character" w:styleId="13">
    <w:name w:val="Emphasis"/>
    <w:basedOn w:val="8"/>
    <w:qFormat/>
    <w:uiPriority w:val="20"/>
    <w:rPr>
      <w:i/>
      <w:iCs/>
    </w:rPr>
  </w:style>
  <w:style w:type="character" w:styleId="14">
    <w:name w:val="endnote reference"/>
    <w:basedOn w:val="8"/>
    <w:semiHidden/>
    <w:unhideWhenUsed/>
    <w:qFormat/>
    <w:uiPriority w:val="99"/>
    <w:rPr>
      <w:vertAlign w:val="superscript"/>
    </w:rPr>
  </w:style>
  <w:style w:type="paragraph" w:styleId="15">
    <w:name w:val="endnote text"/>
    <w:basedOn w:val="1"/>
    <w:semiHidden/>
    <w:unhideWhenUsed/>
    <w:qFormat/>
    <w:uiPriority w:val="99"/>
    <w:rPr>
      <w:sz w:val="20"/>
      <w:szCs w:val="20"/>
    </w:rPr>
  </w:style>
  <w:style w:type="paragraph" w:styleId="16">
    <w:name w:val="footer"/>
    <w:basedOn w:val="1"/>
    <w:link w:val="37"/>
    <w:unhideWhenUsed/>
    <w:qFormat/>
    <w:uiPriority w:val="99"/>
    <w:pPr>
      <w:tabs>
        <w:tab w:val="center" w:pos="4680"/>
        <w:tab w:val="right" w:pos="9360"/>
      </w:tabs>
    </w:pPr>
  </w:style>
  <w:style w:type="character" w:styleId="17">
    <w:name w:val="footnote reference"/>
    <w:basedOn w:val="8"/>
    <w:semiHidden/>
    <w:unhideWhenUsed/>
    <w:qFormat/>
    <w:uiPriority w:val="99"/>
    <w:rPr>
      <w:vertAlign w:val="superscript"/>
    </w:rPr>
  </w:style>
  <w:style w:type="paragraph" w:styleId="18">
    <w:name w:val="footnote text"/>
    <w:basedOn w:val="1"/>
    <w:unhideWhenUsed/>
    <w:qFormat/>
    <w:uiPriority w:val="99"/>
    <w:pPr>
      <w:spacing w:before="120"/>
      <w:jc w:val="both"/>
    </w:pPr>
    <w:rPr>
      <w:sz w:val="20"/>
      <w:szCs w:val="20"/>
    </w:rPr>
  </w:style>
  <w:style w:type="paragraph" w:styleId="19">
    <w:name w:val="header"/>
    <w:basedOn w:val="1"/>
    <w:link w:val="36"/>
    <w:unhideWhenUsed/>
    <w:qFormat/>
    <w:uiPriority w:val="99"/>
    <w:pPr>
      <w:tabs>
        <w:tab w:val="center" w:pos="4680"/>
        <w:tab w:val="right" w:pos="9360"/>
      </w:tabs>
    </w:pPr>
  </w:style>
  <w:style w:type="character" w:styleId="20">
    <w:name w:val="Hyperlink"/>
    <w:basedOn w:val="8"/>
    <w:unhideWhenUsed/>
    <w:qFormat/>
    <w:uiPriority w:val="99"/>
    <w:rPr>
      <w:color w:val="0000FF" w:themeColor="hyperlink"/>
      <w:u w:val="single"/>
      <w14:textFill>
        <w14:solidFill>
          <w14:schemeClr w14:val="hlink"/>
        </w14:solidFill>
      </w14:textFill>
    </w:rPr>
  </w:style>
  <w:style w:type="paragraph" w:styleId="21">
    <w:name w:val="Normal (Web)"/>
    <w:basedOn w:val="1"/>
    <w:unhideWhenUsed/>
    <w:qFormat/>
    <w:uiPriority w:val="99"/>
    <w:pPr>
      <w:widowControl/>
      <w:spacing w:before="100" w:beforeAutospacing="1" w:after="100" w:afterAutospacing="1"/>
    </w:pPr>
    <w:rPr>
      <w:rFonts w:ascii="Times New Roman" w:hAnsi="Times New Roman" w:eastAsia="Times New Roman" w:cs="Times New Roman"/>
      <w:sz w:val="24"/>
      <w:szCs w:val="24"/>
      <w:lang w:val="en-GB" w:eastAsia="en-GB"/>
    </w:rPr>
  </w:style>
  <w:style w:type="character" w:styleId="22">
    <w:name w:val="Strong"/>
    <w:basedOn w:val="8"/>
    <w:qFormat/>
    <w:uiPriority w:val="22"/>
    <w:rPr>
      <w:b/>
      <w:bCs/>
    </w:rPr>
  </w:style>
  <w:style w:type="paragraph" w:styleId="23">
    <w:name w:val="Subtitle"/>
    <w:basedOn w:val="1"/>
    <w:next w:val="1"/>
    <w:qFormat/>
    <w:uiPriority w:val="0"/>
    <w:pPr>
      <w:keepNext/>
      <w:keepLines/>
      <w:spacing w:before="360" w:after="80"/>
    </w:pPr>
    <w:rPr>
      <w:i/>
      <w:color w:val="666666"/>
      <w:sz w:val="48"/>
      <w:szCs w:val="48"/>
    </w:rPr>
  </w:style>
  <w:style w:type="table" w:styleId="24">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Title"/>
    <w:basedOn w:val="1"/>
    <w:next w:val="1"/>
    <w:qFormat/>
    <w:uiPriority w:val="0"/>
    <w:pPr>
      <w:spacing w:line="387" w:lineRule="auto"/>
      <w:ind w:left="20"/>
    </w:pPr>
    <w:rPr>
      <w:rFonts w:ascii="Calibri" w:hAnsi="Calibri" w:eastAsia="Calibri" w:cs="Calibri"/>
      <w:b/>
      <w:sz w:val="36"/>
      <w:szCs w:val="36"/>
    </w:rPr>
  </w:style>
  <w:style w:type="paragraph" w:customStyle="1" w:styleId="26">
    <w:name w:val="Heading"/>
    <w:next w:val="27"/>
    <w:qFormat/>
    <w:uiPriority w:val="0"/>
    <w:pPr>
      <w:keepNext/>
      <w:keepLines/>
      <w:spacing w:before="120"/>
      <w:ind w:left="357" w:firstLine="3"/>
      <w:jc w:val="center"/>
      <w:outlineLvl w:val="0"/>
    </w:pPr>
    <w:rPr>
      <w:rFonts w:ascii="Calibri" w:hAnsi="Calibri" w:eastAsia="Calibri" w:cs="Calibri"/>
      <w:b/>
      <w:bCs/>
      <w:color w:val="000000"/>
      <w:sz w:val="96"/>
      <w:szCs w:val="96"/>
      <w:u w:val="single" w:color="000000"/>
      <w:lang w:val="en-US" w:eastAsia="en-US" w:bidi="ar-SA"/>
    </w:rPr>
  </w:style>
  <w:style w:type="paragraph" w:customStyle="1" w:styleId="27">
    <w:name w:val="Text body"/>
    <w:basedOn w:val="28"/>
    <w:qFormat/>
    <w:uiPriority w:val="0"/>
    <w:pPr>
      <w:spacing w:after="140" w:line="276" w:lineRule="auto"/>
    </w:pPr>
  </w:style>
  <w:style w:type="paragraph" w:customStyle="1" w:styleId="28">
    <w:name w:val="Standard"/>
    <w:qFormat/>
    <w:uiPriority w:val="0"/>
    <w:pPr>
      <w:suppressAutoHyphens/>
      <w:autoSpaceDN w:val="0"/>
      <w:textAlignment w:val="baseline"/>
    </w:pPr>
    <w:rPr>
      <w:rFonts w:ascii="Liberation Serif" w:hAnsi="Liberation Serif" w:eastAsia="NSimSun" w:cs="Lucida Sans"/>
      <w:kern w:val="3"/>
      <w:sz w:val="24"/>
      <w:szCs w:val="24"/>
      <w:lang w:val="en-US" w:eastAsia="zh-CN" w:bidi="hi-IN"/>
    </w:rPr>
  </w:style>
  <w:style w:type="paragraph" w:customStyle="1" w:styleId="29">
    <w:name w:val="Body"/>
    <w:qFormat/>
    <w:uiPriority w:val="0"/>
    <w:pPr>
      <w:spacing w:after="200" w:line="276" w:lineRule="auto"/>
    </w:pPr>
    <w:rPr>
      <w:rFonts w:ascii="Calibri" w:hAnsi="Calibri" w:eastAsia="Arial Unicode MS" w:cs="Arial Unicode MS"/>
      <w:color w:val="000000"/>
      <w:sz w:val="22"/>
      <w:szCs w:val="22"/>
      <w:u w:color="000000"/>
      <w:lang w:val="en-US" w:eastAsia="en-US" w:bidi="ar-SA"/>
    </w:rPr>
  </w:style>
  <w:style w:type="table" w:customStyle="1" w:styleId="30">
    <w:name w:val="_Style 11"/>
    <w:basedOn w:val="9"/>
    <w:qFormat/>
    <w:uiPriority w:val="0"/>
  </w:style>
  <w:style w:type="table" w:customStyle="1" w:styleId="31">
    <w:name w:val="_Style 12"/>
    <w:basedOn w:val="9"/>
    <w:qFormat/>
    <w:uiPriority w:val="0"/>
  </w:style>
  <w:style w:type="table" w:customStyle="1" w:styleId="32">
    <w:name w:val="_Style 13"/>
    <w:basedOn w:val="9"/>
    <w:qFormat/>
    <w:uiPriority w:val="0"/>
  </w:style>
  <w:style w:type="table" w:customStyle="1" w:styleId="33">
    <w:name w:val="_Style 14"/>
    <w:basedOn w:val="9"/>
    <w:qFormat/>
    <w:uiPriority w:val="0"/>
  </w:style>
  <w:style w:type="table" w:customStyle="1" w:styleId="34">
    <w:name w:val="_Style 15"/>
    <w:basedOn w:val="9"/>
    <w:qFormat/>
    <w:uiPriority w:val="0"/>
  </w:style>
  <w:style w:type="table" w:customStyle="1" w:styleId="35">
    <w:name w:val="_Style 16"/>
    <w:basedOn w:val="9"/>
    <w:qFormat/>
    <w:uiPriority w:val="0"/>
  </w:style>
  <w:style w:type="character" w:customStyle="1" w:styleId="36">
    <w:name w:val="Header Char"/>
    <w:basedOn w:val="8"/>
    <w:link w:val="19"/>
    <w:qFormat/>
    <w:uiPriority w:val="99"/>
  </w:style>
  <w:style w:type="character" w:customStyle="1" w:styleId="37">
    <w:name w:val="Footer Char"/>
    <w:basedOn w:val="8"/>
    <w:link w:val="16"/>
    <w:qFormat/>
    <w:uiPriority w:val="99"/>
  </w:style>
  <w:style w:type="character" w:customStyle="1" w:styleId="38">
    <w:name w:val="Balloon Text Char"/>
    <w:basedOn w:val="8"/>
    <w:link w:val="10"/>
    <w:semiHidden/>
    <w:qFormat/>
    <w:uiPriority w:val="99"/>
    <w:rPr>
      <w:rFonts w:ascii="Tahoma" w:hAnsi="Tahoma" w:cs="Tahoma"/>
      <w:sz w:val="16"/>
      <w:szCs w:val="16"/>
    </w:rPr>
  </w:style>
  <w:style w:type="paragraph" w:styleId="39">
    <w:name w:val="List Paragraph"/>
    <w:basedOn w:val="1"/>
    <w:qFormat/>
    <w:uiPriority w:val="34"/>
    <w:pPr>
      <w:widowControl/>
      <w:spacing w:after="160" w:line="278" w:lineRule="auto"/>
      <w:ind w:left="720"/>
      <w:contextualSpacing/>
    </w:pPr>
    <w:rPr>
      <w:rFonts w:ascii="Calibri" w:hAnsi="Calibri" w:eastAsia="Calibri" w:cs="SimSun"/>
      <w:kern w:val="2"/>
      <w:sz w:val="24"/>
      <w:szCs w:val="24"/>
      <w14:ligatures w14:val="standardContextual"/>
    </w:rPr>
  </w:style>
  <w:style w:type="character" w:customStyle="1" w:styleId="40">
    <w:name w:val="relative"/>
    <w:basedOn w:val="8"/>
    <w:qFormat/>
    <w:uiPriority w:val="0"/>
  </w:style>
  <w:style w:type="character" w:customStyle="1" w:styleId="41">
    <w:name w:val="normaltextrun"/>
    <w:basedOn w:val="8"/>
    <w:qFormat/>
    <w:uiPriority w:val="0"/>
  </w:style>
  <w:style w:type="character" w:customStyle="1" w:styleId="42">
    <w:name w:val="max-w-full"/>
    <w:basedOn w:val="8"/>
    <w:qFormat/>
    <w:uiPriority w:val="0"/>
  </w:style>
  <w:style w:type="character" w:customStyle="1" w:styleId="43">
    <w:name w:val="mord"/>
    <w:basedOn w:val="8"/>
    <w:qFormat/>
    <w:uiPriority w:val="0"/>
  </w:style>
  <w:style w:type="character" w:customStyle="1" w:styleId="44">
    <w:name w:val="vlist-s"/>
    <w:basedOn w:val="8"/>
    <w:qFormat/>
    <w:uiPriority w:val="0"/>
  </w:style>
  <w:style w:type="character" w:customStyle="1" w:styleId="45">
    <w:name w:val="mrel"/>
    <w:basedOn w:val="8"/>
    <w:qFormat/>
    <w:uiPriority w:val="0"/>
  </w:style>
  <w:style w:type="character" w:customStyle="1" w:styleId="46">
    <w:name w:val="mbin"/>
    <w:basedOn w:val="8"/>
    <w:qFormat/>
    <w:uiPriority w:val="0"/>
  </w:style>
  <w:style w:type="character" w:customStyle="1" w:styleId="47">
    <w:name w:val="mop"/>
    <w:basedOn w:val="8"/>
    <w:qFormat/>
    <w:uiPriority w:val="0"/>
  </w:style>
  <w:style w:type="paragraph" w:customStyle="1" w:styleId="48">
    <w:name w:val="EndNote Bibliography"/>
    <w:basedOn w:val="1"/>
    <w:qFormat/>
    <w:uiPriority w:val="0"/>
    <w:pPr>
      <w:jc w:val="both"/>
    </w:pPr>
    <w:rPr>
      <w:rFonts w:ascii="Calibri" w:hAnsi="Calibri" w:cs="Calibri"/>
    </w:rPr>
  </w:style>
  <w:style w:type="character" w:customStyle="1" w:styleId="49">
    <w:name w:val="diff-highlight"/>
    <w:basedOn w:val="8"/>
    <w:qFormat/>
    <w:uiPriority w:val="0"/>
  </w:style>
  <w:style w:type="character" w:customStyle="1" w:styleId="50">
    <w:name w:val="apple-tab-span"/>
    <w:basedOn w:val="8"/>
    <w:qFormat/>
    <w:uiPriority w:val="0"/>
  </w:style>
  <w:style w:type="table" w:customStyle="1" w:styleId="51">
    <w:name w:val="TableGrid"/>
    <w:qFormat/>
    <w:uiPriority w:val="0"/>
    <w:tblPr>
      <w:tblCellMar>
        <w:top w:w="0" w:type="dxa"/>
        <w:left w:w="0" w:type="dxa"/>
        <w:bottom w:w="0" w:type="dxa"/>
        <w:right w:w="0" w:type="dxa"/>
      </w:tblCellMar>
    </w:tblPr>
  </w:style>
  <w:style w:type="character" w:customStyle="1" w:styleId="52">
    <w:name w:val="reference-text"/>
    <w:basedOn w:val="8"/>
    <w:qFormat/>
    <w:uiPriority w:val="0"/>
  </w:style>
  <w:style w:type="paragraph" w:customStyle="1" w:styleId="53">
    <w:name w:val="Default"/>
    <w:qFormat/>
    <w:uiPriority w:val="0"/>
    <w:pPr>
      <w:autoSpaceDE w:val="0"/>
      <w:autoSpaceDN w:val="0"/>
      <w:adjustRightInd w:val="0"/>
    </w:pPr>
    <w:rPr>
      <w:rFonts w:ascii="Code" w:hAnsi="Code" w:cs="Code" w:eastAsiaTheme="minorHAnsi"/>
      <w:color w:val="000000"/>
      <w:sz w:val="24"/>
      <w:szCs w:val="24"/>
      <w:lang w:val="en-US" w:eastAsia="en-US" w:bidi="ar-SA"/>
    </w:rPr>
  </w:style>
  <w:style w:type="character" w:customStyle="1" w:styleId="54">
    <w:name w:val="Hyperlink.0"/>
    <w:basedOn w:val="20"/>
    <w:qFormat/>
    <w:uiPriority w:val="0"/>
    <w:rPr>
      <w:color w:val="0000FF"/>
      <w:u w:val="single" w:color="0000FF"/>
    </w:rPr>
  </w:style>
  <w:style w:type="character" w:customStyle="1" w:styleId="55">
    <w:name w:val="Hyperlink.1"/>
    <w:basedOn w:val="54"/>
    <w:qFormat/>
    <w:uiPriority w:val="0"/>
    <w:rPr>
      <w:color w:val="0000FF"/>
      <w:u w:val="single" w:color="0000FF"/>
      <w:shd w:val="clear" w:color="auto" w:fill="FFFFFF"/>
    </w:rPr>
  </w:style>
  <w:style w:type="paragraph" w:customStyle="1" w:styleId="56">
    <w:name w:val="Header &amp; Footer"/>
    <w:qFormat/>
    <w:uiPriority w:val="0"/>
    <w:pPr>
      <w:tabs>
        <w:tab w:val="right" w:pos="9020"/>
      </w:tabs>
    </w:pPr>
    <w:rPr>
      <w:rFonts w:ascii="Helvetica Neue" w:hAnsi="Helvetica Neue" w:eastAsia="Arial Unicode MS" w:cs="Arial Unicode MS"/>
      <w:color w:val="000000"/>
      <w:sz w:val="24"/>
      <w:szCs w:val="24"/>
      <w:lang w:val="en-US" w:eastAsia="en-US" w:bidi="ar-SA"/>
    </w:rPr>
  </w:style>
  <w:style w:type="paragraph" w:customStyle="1" w:styleId="57">
    <w:name w:val="Table Paragraph"/>
    <w:basedOn w:val="1"/>
    <w:qFormat/>
    <w:uiPriority w:val="1"/>
    <w:pPr>
      <w:spacing w:before="1"/>
      <w:ind w:left="105"/>
    </w:pPr>
    <w:rPr>
      <w:rFonts w:ascii="Times New Roman" w:hAnsi="Times New Roman" w:eastAsia="Times New Roman" w:cs="Times New Roman"/>
    </w:rPr>
  </w:style>
  <w:style w:type="character" w:customStyle="1" w:styleId="58">
    <w:name w:val="Heading 2 Char"/>
    <w:basedOn w:val="8"/>
    <w:link w:val="3"/>
    <w:qFormat/>
    <w:uiPriority w:val="9"/>
    <w:rPr>
      <w:rFonts w:ascii="Cambria" w:hAnsi="Cambria" w:eastAsia="Cambria" w:cs="Cambria"/>
      <w:b/>
      <w:color w:val="4F81BD"/>
      <w:sz w:val="26"/>
      <w:szCs w:val="26"/>
    </w:rPr>
  </w:style>
  <w:style w:type="table" w:customStyle="1" w:styleId="59">
    <w:name w:val="Table Grid Light1"/>
    <w:basedOn w:val="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60">
    <w:name w:val="apple-converted-space"/>
    <w:basedOn w:val="8"/>
    <w:qFormat/>
    <w:uiPriority w:val="0"/>
  </w:style>
  <w:style w:type="paragraph" w:styleId="61">
    <w:name w:val="No Spacing"/>
    <w:qFormat/>
    <w:uiPriority w:val="1"/>
    <w:rPr>
      <w:rFonts w:asciiTheme="minorHAnsi" w:hAnsiTheme="minorHAnsi" w:eastAsiaTheme="minorHAnsi" w:cstheme="minorBidi"/>
      <w:sz w:val="22"/>
      <w:szCs w:val="22"/>
      <w:lang w:val="en-US" w:eastAsia="en-US" w:bidi="ar-SA"/>
    </w:rPr>
  </w:style>
  <w:style w:type="table" w:customStyle="1" w:styleId="62">
    <w:name w:val="List Table 6 Colorful1"/>
    <w:basedOn w:val="9"/>
    <w:qFormat/>
    <w:uiPriority w:val="51"/>
    <w:rPr>
      <w:color w:val="000000" w:themeColor="text1"/>
      <w:sz w:val="22"/>
      <w:szCs w:val="22"/>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3">
    <w:name w:val="Table Grid51"/>
    <w:basedOn w:val="9"/>
    <w:qFormat/>
    <w:uiPriority w:val="59"/>
    <w:rPr>
      <w:rFonts w:ascii="Times New Roman" w:hAnsi="Times New Roman" w:eastAsia="PMingLiU" w:cs="Times New Roman"/>
      <w:lang w:val="en-GB"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p1"/>
    <w:basedOn w:val="1"/>
    <w:qFormat/>
    <w:uiPriority w:val="0"/>
    <w:pPr>
      <w:spacing w:before="100" w:beforeAutospacing="1" w:after="100" w:afterAutospacing="1"/>
    </w:pPr>
    <w:rPr>
      <w:rFonts w:ascii="Times New Roman" w:hAnsi="Times New Roman" w:eastAsia="DengXian" w:cs="Times New Roman"/>
      <w:sz w:val="24"/>
      <w:szCs w:val="24"/>
    </w:rPr>
  </w:style>
  <w:style w:type="character" w:customStyle="1" w:styleId="65">
    <w:name w:val="15"/>
    <w:basedOn w:val="8"/>
    <w:qFormat/>
    <w:uiPriority w:val="0"/>
    <w:rPr>
      <w:rFonts w:hint="default" w:ascii="DengXian" w:hAnsi="DengXian"/>
    </w:rPr>
  </w:style>
  <w:style w:type="character" w:customStyle="1" w:styleId="66">
    <w:name w:val="al-author-delim"/>
    <w:basedOn w:val="8"/>
    <w:qFormat/>
    <w:uiPriority w:val="0"/>
  </w:style>
  <w:style w:type="character" w:customStyle="1" w:styleId="67">
    <w:name w:val="colon-for-citation-subtitle"/>
    <w:basedOn w:val="8"/>
    <w:qFormat/>
    <w:uiPriority w:val="0"/>
  </w:style>
  <w:style w:type="character" w:customStyle="1" w:styleId="68">
    <w:name w:val="Subtitle1"/>
    <w:basedOn w:val="8"/>
    <w:qFormat/>
    <w:uiPriority w:val="0"/>
  </w:style>
  <w:style w:type="table" w:customStyle="1" w:styleId="69">
    <w:name w:val="Grid Table 5 Dark - Accent 11"/>
    <w:basedOn w:val="9"/>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70">
    <w:name w:val="List Table 3 - Accent 11"/>
    <w:basedOn w:val="9"/>
    <w:qFormat/>
    <w:uiPriority w:val="48"/>
    <w:tblPr>
      <w:tblBorders>
        <w:top w:val="single" w:color="5B9BD5" w:sz="4" w:space="0"/>
        <w:left w:val="single" w:color="5B9BD5" w:sz="4" w:space="0"/>
        <w:bottom w:val="single" w:color="5B9BD5" w:sz="4" w:space="0"/>
        <w:right w:val="single" w:color="5B9BD5" w:sz="4" w:space="0"/>
      </w:tblBorders>
    </w:tblPr>
    <w:tblStylePr w:type="firstRow">
      <w:rPr>
        <w:b/>
        <w:bCs/>
        <w:color w:val="FFFFFF"/>
      </w:rPr>
      <w:tcPr>
        <w:shd w:val="clear" w:color="auto" w:fill="5B9BD5"/>
      </w:tcPr>
    </w:tblStylePr>
    <w:tblStylePr w:type="lastRow">
      <w:rPr>
        <w:b/>
        <w:bCs/>
      </w:rPr>
      <w:tcPr>
        <w:tcBorders>
          <w:top w:val="double" w:color="5B9BD5"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5B9BD5" w:sz="4" w:space="0"/>
          <w:right w:val="single" w:color="5B9BD5" w:sz="4" w:space="0"/>
        </w:tcBorders>
      </w:tcPr>
    </w:tblStylePr>
    <w:tblStylePr w:type="band1Horz">
      <w:tcPr>
        <w:tcBorders>
          <w:top w:val="single" w:color="5B9BD5" w:sz="4" w:space="0"/>
          <w:bottom w:val="single" w:color="5B9BD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sz="4" w:space="0"/>
          <w:left w:val="nil"/>
        </w:tcBorders>
      </w:tcPr>
    </w:tblStylePr>
    <w:tblStylePr w:type="swCell">
      <w:tcPr>
        <w:tcBorders>
          <w:top w:val="double" w:color="5B9BD5" w:sz="4" w:space="0"/>
          <w:right w:val="nil"/>
        </w:tcBorders>
      </w:tcPr>
    </w:tblStylePr>
  </w:style>
  <w:style w:type="table" w:customStyle="1" w:styleId="71">
    <w:name w:val="Light Shading2"/>
    <w:basedOn w:val="9"/>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72">
    <w:name w:val="fontstyle01"/>
    <w:basedOn w:val="8"/>
    <w:qFormat/>
    <w:uiPriority w:val="0"/>
    <w:rPr>
      <w:rFonts w:hint="default" w:ascii="Times New Roman" w:hAnsi="Times New Roman" w:cs="Times New Roman"/>
      <w:b/>
      <w:bCs/>
      <w:i/>
      <w:iCs/>
      <w:color w:val="000000"/>
      <w:sz w:val="24"/>
      <w:szCs w:val="24"/>
    </w:rPr>
  </w:style>
  <w:style w:type="character" w:customStyle="1" w:styleId="73">
    <w:name w:val="Heading 1 Char"/>
    <w:basedOn w:val="8"/>
    <w:link w:val="2"/>
    <w:qFormat/>
    <w:uiPriority w:val="9"/>
    <w:rPr>
      <w:rFonts w:ascii="Calibri" w:hAnsi="Calibri" w:eastAsia="Calibri" w:cs="Calibri"/>
      <w:b/>
      <w:sz w:val="24"/>
      <w:szCs w:val="24"/>
    </w:rPr>
  </w:style>
  <w:style w:type="character" w:customStyle="1" w:styleId="74">
    <w:name w:val="Strong Emphasis"/>
    <w:qFormat/>
    <w:uiPriority w:val="0"/>
    <w:rPr>
      <w:b/>
      <w:bCs/>
    </w:rPr>
  </w:style>
  <w:style w:type="paragraph" w:customStyle="1" w:styleId="75">
    <w:name w:val="Bibliography1"/>
    <w:basedOn w:val="1"/>
    <w:next w:val="1"/>
    <w:unhideWhenUsed/>
    <w:qFormat/>
    <w:uiPriority w:val="37"/>
  </w:style>
  <w:style w:type="table" w:customStyle="1" w:styleId="76">
    <w:name w:val="Table Grid3"/>
    <w:basedOn w:val="9"/>
    <w:qFormat/>
    <w:uiPriority w:val="39"/>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Table Grid41"/>
    <w:basedOn w:val="9"/>
    <w:qFormat/>
    <w:uiPriority w:val="39"/>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3966</Words>
  <Characters>25813</Characters>
  <Lines>425</Lines>
  <Paragraphs>119</Paragraphs>
  <TotalTime>14</TotalTime>
  <ScaleCrop>false</ScaleCrop>
  <LinksUpToDate>false</LinksUpToDate>
  <CharactersWithSpaces>29714</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2025-05-05T07:47:00Z</dcterms:created>
  <dc:creator>PC VISION</dc:creator>
  <cp:lastModifiedBy>WPS_1728360255</cp:lastModifiedBy>
  <cp:lastPrinted>2025-05-05T18:20:00Z</cp:lastPrinted>
  <dcterms:modified xsi:type="dcterms:W3CDTF">2026-06-12T06:44:14Z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75156AED021D4049A162B6FC2B0B397F_13</vt:lpwstr>
  </property>
  <property fmtid="{D5CDD505-2E9C-101B-9397-08002B2CF9AE}" pid="4" name="KSOTemplateDocerSaveRecord">
    <vt:lpwstr>eyJoZGlkIjoiODlkMzQ1YmQ2M2RjZmY1ZWU3MWRjYWU5YTg5NjlkMTgiLCJ1c2VySWQiOiI4ODEzODUxMzIwNzcyIn0=</vt:lpwstr>
  </property>
</Properties>
</file>